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8AE1" w14:textId="480779D7" w:rsidR="00D45727" w:rsidRPr="00D45727" w:rsidRDefault="00D45727" w:rsidP="00D45727">
      <w:pPr>
        <w:jc w:val="center"/>
        <w:rPr>
          <w:rFonts w:ascii="微软雅黑" w:eastAsia="微软雅黑" w:hAnsi="微软雅黑" w:hint="eastAsia"/>
          <w:b/>
          <w:bCs/>
          <w:color w:val="auto"/>
          <w:sz w:val="36"/>
          <w:szCs w:val="36"/>
          <w:lang w:val="en-US" w:bidi="ar-SA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</w:rPr>
        <w:t>临床笔试刷题-第</w:t>
      </w:r>
      <w:r>
        <w:rPr>
          <w:rFonts w:ascii="微软雅黑" w:eastAsia="微软雅黑" w:hAnsi="微软雅黑" w:hint="eastAsia"/>
          <w:b/>
          <w:bCs/>
          <w:sz w:val="36"/>
          <w:szCs w:val="36"/>
        </w:rPr>
        <w:t>二</w:t>
      </w:r>
      <w:r>
        <w:rPr>
          <w:rFonts w:ascii="微软雅黑" w:eastAsia="微软雅黑" w:hAnsi="微软雅黑" w:hint="eastAsia"/>
          <w:b/>
          <w:bCs/>
          <w:sz w:val="36"/>
          <w:szCs w:val="36"/>
        </w:rPr>
        <w:t>期</w:t>
      </w:r>
    </w:p>
    <w:p w14:paraId="2B326B19" w14:textId="77777777" w:rsidR="00D45727" w:rsidRDefault="00D45727">
      <w:pPr>
        <w:rPr>
          <w:rFonts w:ascii="微软雅黑" w:eastAsia="微软雅黑" w:hAnsi="微软雅黑"/>
          <w:b/>
          <w:bCs/>
          <w:color w:val="auto"/>
          <w:sz w:val="21"/>
          <w:szCs w:val="21"/>
          <w:lang w:val="en-US"/>
        </w:rPr>
      </w:pPr>
    </w:p>
    <w:p w14:paraId="425D4C46" w14:textId="7A97C375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1.女性，58岁。反复咳嗽、咳痰、喘息32年，加重3天。查体：桶状胸，双肺满布哮鸣音，血气分析PaO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 xml:space="preserve">2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58mmHg,PaCO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 xml:space="preserve">2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55mmHg。此时该患者呼吸功能检查结果最可能的是</w:t>
      </w:r>
    </w:p>
    <w:p w14:paraId="1043EF87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A.VC正常、FEV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1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%正常、RV/TLC&lt;40%</w:t>
      </w:r>
    </w:p>
    <w:p w14:paraId="1948B635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B.VC降低、FEV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1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%正常、RV/TLC&lt;40%</w:t>
      </w:r>
    </w:p>
    <w:p w14:paraId="1582D085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C.VC降低、FEV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1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%增加、RV/TLC&gt;40%</w:t>
      </w:r>
    </w:p>
    <w:p w14:paraId="568639CF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D.VC正常、FEV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1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%降低、RV/TLC&lt;40%</w:t>
      </w:r>
    </w:p>
    <w:p w14:paraId="76649C94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E.VC降低、FEV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1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%降低、RV/TLC&gt;40%</w:t>
      </w:r>
    </w:p>
    <w:p w14:paraId="0CD7C691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【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答案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】E  </w:t>
      </w:r>
    </w:p>
    <w:p w14:paraId="4CE95243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解析：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老年患者，反复咳嗽咳痰32年，可诊断为COPD。COPD患者表现为阻塞性通气功能障碍，故肺活量(VC)降低，第1秒用力呼气容积(FEV.%)降低、残气量／肺总量(RV/TLC)&gt;40%。</w:t>
      </w:r>
    </w:p>
    <w:p w14:paraId="2E05A6EA" w14:textId="77777777" w:rsidR="00A40C63" w:rsidRPr="00275960" w:rsidRDefault="00A40C63">
      <w:pPr>
        <w:rPr>
          <w:rFonts w:ascii="微软雅黑" w:eastAsia="微软雅黑" w:hAnsi="微软雅黑"/>
          <w:color w:val="auto"/>
          <w:sz w:val="21"/>
          <w:szCs w:val="21"/>
        </w:rPr>
      </w:pPr>
    </w:p>
    <w:p w14:paraId="29E118EE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2.支气管哮喘发作时最常见的血气改变是</w:t>
      </w:r>
    </w:p>
    <w:p w14:paraId="3B862599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A.pH值上升,PaO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2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下降,PaCO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2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降低</w:t>
      </w:r>
    </w:p>
    <w:p w14:paraId="245D2ED5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B.pH值上升,PaO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2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下降,PaCO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2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上升</w:t>
      </w:r>
    </w:p>
    <w:p w14:paraId="25DA6976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C.pH值下降，PaO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2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下降，PaCO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2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降低</w:t>
      </w:r>
    </w:p>
    <w:p w14:paraId="470CA3AA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D.pH值下降,PaO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2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下降,PaCO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2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上升</w:t>
      </w:r>
    </w:p>
    <w:p w14:paraId="4AEF9BC1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E.pH值正常,PaO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2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下降，PaCO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2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上升</w:t>
      </w:r>
    </w:p>
    <w:p w14:paraId="653723A3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【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答案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】A </w:t>
      </w:r>
    </w:p>
    <w:p w14:paraId="0F5F0CF8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lastRenderedPageBreak/>
        <w:t>解析：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 ①支气管哮喘发作时可有缺氧，Pa02降低，由于过度通气可使PaCO2降低，pH上升，表现为呼吸性碱中毒(A)。②在重度哮喘时，气道阻塞严重，缺氧加重并出现CO2潴留，PaCO2上升，表现为呼吸性酸中毒。故D为严重哮喘时的表现。</w:t>
      </w:r>
    </w:p>
    <w:p w14:paraId="4C813706" w14:textId="77777777" w:rsidR="00A40C63" w:rsidRPr="00275960" w:rsidRDefault="00A40C63">
      <w:pPr>
        <w:rPr>
          <w:rFonts w:ascii="微软雅黑" w:eastAsia="微软雅黑" w:hAnsi="微软雅黑"/>
          <w:color w:val="auto"/>
          <w:sz w:val="21"/>
          <w:szCs w:val="21"/>
        </w:rPr>
      </w:pPr>
    </w:p>
    <w:p w14:paraId="1428AC1C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3.女,35岁。间断咳嗽、咳痰伴咯血20年,行HRCT检查示右中叶支气管囊状扩张，其余肺叶未见异常。今日再次咯血，量约200ml,给予静脉点滴垂体后叶素治疗,效果欠佳。该患者宜选择的最佳治疗措施为</w:t>
      </w:r>
    </w:p>
    <w:p w14:paraId="775F7A39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A.手术切除病变肺叶</w:t>
      </w:r>
    </w:p>
    <w:p w14:paraId="24E0C48F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B.换用酚妥拉明静脉滴注</w:t>
      </w:r>
    </w:p>
    <w:p w14:paraId="5DE1727F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C.静脉滴注鱼精蛋白</w:t>
      </w:r>
    </w:p>
    <w:p w14:paraId="2CF25618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D.支气管镜下止血</w:t>
      </w:r>
    </w:p>
    <w:p w14:paraId="67DD9608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E.支气管动脉栓塞</w:t>
      </w:r>
    </w:p>
    <w:p w14:paraId="3AD19D67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【答案】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A  </w:t>
      </w:r>
    </w:p>
    <w:p w14:paraId="169052DC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解析：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支气管扩张患者长期咯血，药物治疗无效，病变局限于右中叶，可手术切除病变肺叶(A)。</w:t>
      </w:r>
    </w:p>
    <w:p w14:paraId="39C77E9D" w14:textId="77777777" w:rsidR="00A40C63" w:rsidRPr="00275960" w:rsidRDefault="00A40C63">
      <w:pPr>
        <w:rPr>
          <w:rFonts w:ascii="微软雅黑" w:eastAsia="微软雅黑" w:hAnsi="微软雅黑"/>
          <w:color w:val="auto"/>
          <w:sz w:val="21"/>
          <w:szCs w:val="21"/>
        </w:rPr>
      </w:pPr>
    </w:p>
    <w:p w14:paraId="060AE884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1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.男性,25岁。咳嗽半月，呈阵发性干咳,服用阿莫西林和止咳药无效。体检:体温正常，咽充血,心肺无异常。血白细胞计数正常。X线胸片显示右下肺间质性炎症改变。治疗应首先考虑选用的药物为</w:t>
      </w:r>
    </w:p>
    <w:p w14:paraId="6B86BF88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A.大环内酯类</w:t>
      </w:r>
    </w:p>
    <w:p w14:paraId="2B6EAB5C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B.青霉素类</w:t>
      </w:r>
    </w:p>
    <w:p w14:paraId="4FB0B213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C.氨基糖苷类</w:t>
      </w:r>
    </w:p>
    <w:p w14:paraId="48AC71F2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lastRenderedPageBreak/>
        <w:t>D.氟喹诺酮类</w:t>
      </w:r>
    </w:p>
    <w:p w14:paraId="1A9C3219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E.头孢菌素类</w:t>
      </w:r>
    </w:p>
    <w:p w14:paraId="753AB31C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【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答案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】A  </w:t>
      </w:r>
    </w:p>
    <w:p w14:paraId="67F624B1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解析：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解答本题的关键是掌握支原体肺炎属间质性肺炎，不累及肺实质，因此可有阵发性刺激性干咳，无痰或少痰。由于支原体无细胞壁，因此青霉素类（阿莫西林）无效。结合病史及胸片表现，本例应诊断为肺炎支原体肺炎，首选大环内酯类治疗(A) </w:t>
      </w:r>
    </w:p>
    <w:p w14:paraId="68EA8D50" w14:textId="77777777" w:rsidR="00A40C63" w:rsidRPr="00275960" w:rsidRDefault="00A40C63">
      <w:pPr>
        <w:rPr>
          <w:rFonts w:ascii="微软雅黑" w:eastAsia="微软雅黑" w:hAnsi="微软雅黑"/>
          <w:color w:val="auto"/>
          <w:sz w:val="21"/>
          <w:szCs w:val="21"/>
        </w:rPr>
      </w:pPr>
    </w:p>
    <w:p w14:paraId="093C2F4D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2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.女，28岁，工人。发热、干咳1个月。发病时胸部X线片示肺纹理增多，先后使用“青霉素”、“头孢菌素”抗感染治疗半月余症状未见好转。查体：T 39.8℃，消瘦，双侧颈部可触及多个成串小淋巴结，双肺未闻及干湿啰音。PPD试验（-），胸部X线片示双肺弥漫分布直径约2mm的小结节影。该患者最可能的诊断是</w:t>
      </w:r>
    </w:p>
    <w:p w14:paraId="64EF4C66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A.真菌性肺炎</w:t>
      </w:r>
    </w:p>
    <w:p w14:paraId="4B52E46F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B.过敏性肺炎</w:t>
      </w:r>
    </w:p>
    <w:p w14:paraId="46124812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C.急性粟粒性肺结核</w:t>
      </w:r>
    </w:p>
    <w:p w14:paraId="4663BAE6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D.病毒性肺炎</w:t>
      </w:r>
    </w:p>
    <w:p w14:paraId="7B05D3A8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E.细菌性肺炎</w:t>
      </w:r>
    </w:p>
    <w:p w14:paraId="2995C686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【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答案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】C  </w:t>
      </w:r>
    </w:p>
    <w:p w14:paraId="71EDCB22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解析：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颈部串珠状淋巴结肿大为颈部淋巴结结核的典型体征。急性粟粒性肺结核为重症肺结核，起病急，持续高热，中毒症状较重，浅表淋巴结和肝脾肿大，胸片示肺纹理增多，肺尖至肺底呈大小、密度、分布三均匀的粟粒状结节影，直径约2mm。根据题干，本例应诊断为急性粟粒性肺结核(C) </w:t>
      </w:r>
    </w:p>
    <w:p w14:paraId="4A96C9FE" w14:textId="77777777" w:rsidR="00A40C63" w:rsidRPr="00275960" w:rsidRDefault="00A40C63">
      <w:pPr>
        <w:rPr>
          <w:rFonts w:ascii="微软雅黑" w:eastAsia="微软雅黑" w:hAnsi="微软雅黑"/>
          <w:color w:val="auto"/>
          <w:sz w:val="21"/>
          <w:szCs w:val="21"/>
        </w:rPr>
      </w:pPr>
    </w:p>
    <w:p w14:paraId="15CFEBD2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lastRenderedPageBreak/>
        <w:t>3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.男，45岁。低热、干咳2周，经胸部X线胸片诊断为浸润性肺结核。既往有高血压史5年，痛风史3年，口服药物治疗。在患者进行抗结核治疗时，应避免使用的药物是</w:t>
      </w:r>
    </w:p>
    <w:p w14:paraId="649682E5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A.异烟肼</w:t>
      </w:r>
    </w:p>
    <w:p w14:paraId="7D288073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B.利福平</w:t>
      </w:r>
    </w:p>
    <w:p w14:paraId="15D4C63F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C.乙胺丁醇</w:t>
      </w:r>
    </w:p>
    <w:p w14:paraId="1EC62C24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D.吡嗪酰胺</w:t>
      </w:r>
    </w:p>
    <w:p w14:paraId="33981EF8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E.链霉素</w:t>
      </w:r>
    </w:p>
    <w:p w14:paraId="6DE8EB47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【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答案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】D </w:t>
      </w:r>
    </w:p>
    <w:p w14:paraId="1B97052C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解析：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吡嗪酰胺(PZA)的代谢产物吡嗪酸可促进肾小管对尿酸的重吸收，从而抑制尿酸的排泄，进而引起高尿酸血症，因此痛风病人应避免使用(D) </w:t>
      </w:r>
    </w:p>
    <w:p w14:paraId="0BAE1E90" w14:textId="77777777" w:rsidR="00A40C63" w:rsidRPr="00275960" w:rsidRDefault="00A40C63">
      <w:pPr>
        <w:rPr>
          <w:rFonts w:ascii="微软雅黑" w:eastAsia="微软雅黑" w:hAnsi="微软雅黑"/>
          <w:color w:val="auto"/>
          <w:sz w:val="21"/>
          <w:szCs w:val="21"/>
        </w:rPr>
      </w:pPr>
    </w:p>
    <w:p w14:paraId="26499876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1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.男,69岁。反复咳嗽、咳痰、喘息20年,加重2周，嗜睡1周。无发热、咯血。既往吸烟30年，每日约1包。查体:T 36.8℃，BP 160/95mmHg，昏睡状，口唇发绀,颈静脉充盈，肝颈静脉回流征阳性,双肺可闻及哮鸣音和细湿啰音,心律130次/分,P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2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&gt;A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2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,双下肢水肿,病理征（-)。该患者肺动脉高压形成的最主要机制是</w:t>
      </w:r>
    </w:p>
    <w:p w14:paraId="706ABF94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A.肺小动脉结构重塑</w:t>
      </w:r>
    </w:p>
    <w:p w14:paraId="4A44935E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B.肺毛细血管静水压升高</w:t>
      </w:r>
    </w:p>
    <w:p w14:paraId="43D647B4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C.原位血栓形成</w:t>
      </w:r>
    </w:p>
    <w:p w14:paraId="0E8993F8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D.血红蛋白浓度升高</w:t>
      </w:r>
    </w:p>
    <w:p w14:paraId="4EFE40D3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E.缺氧、CO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2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潴留致血管收缩</w:t>
      </w:r>
    </w:p>
    <w:p w14:paraId="0B09AD2E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【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答案】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E </w:t>
      </w:r>
    </w:p>
    <w:p w14:paraId="0D457EFA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解析：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患者咳嗽咳痰20年，应考虑COPD。患者P2亢进(P2&gt;A2)，应诊断为肺心病，肺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lastRenderedPageBreak/>
        <w:t>动脉高压。肺动脉高压形成的最主要机制是缺氧、CO2潴留致肺小血管收缩，即功能性因素，答案为E。</w:t>
      </w:r>
    </w:p>
    <w:p w14:paraId="3E24F850" w14:textId="77777777" w:rsidR="00A40C63" w:rsidRPr="00275960" w:rsidRDefault="00A40C63">
      <w:pPr>
        <w:rPr>
          <w:rFonts w:ascii="微软雅黑" w:eastAsia="微软雅黑" w:hAnsi="微软雅黑"/>
          <w:color w:val="auto"/>
          <w:sz w:val="21"/>
          <w:szCs w:val="21"/>
        </w:rPr>
      </w:pPr>
    </w:p>
    <w:p w14:paraId="2B56F772" w14:textId="77777777" w:rsidR="00A40C63" w:rsidRPr="00275960" w:rsidRDefault="00C36196">
      <w:pPr>
        <w:rPr>
          <w:rFonts w:ascii="微软雅黑" w:eastAsia="微软雅黑" w:hAnsi="微软雅黑"/>
          <w:b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b/>
          <w:color w:val="auto"/>
          <w:sz w:val="21"/>
          <w:szCs w:val="21"/>
        </w:rPr>
        <w:t>（</w:t>
      </w:r>
      <w:r w:rsidRPr="00275960">
        <w:rPr>
          <w:rFonts w:ascii="微软雅黑" w:eastAsia="微软雅黑" w:hAnsi="微软雅黑" w:hint="eastAsia"/>
          <w:b/>
          <w:color w:val="auto"/>
          <w:sz w:val="21"/>
          <w:szCs w:val="21"/>
          <w:lang w:val="en-US"/>
        </w:rPr>
        <w:t>2</w:t>
      </w:r>
      <w:r w:rsidRPr="00275960">
        <w:rPr>
          <w:rFonts w:ascii="微软雅黑" w:eastAsia="微软雅黑" w:hAnsi="微软雅黑" w:hint="eastAsia"/>
          <w:b/>
          <w:color w:val="auto"/>
          <w:sz w:val="21"/>
          <w:szCs w:val="21"/>
        </w:rPr>
        <w:t>~</w:t>
      </w:r>
      <w:r w:rsidRPr="00275960">
        <w:rPr>
          <w:rFonts w:ascii="微软雅黑" w:eastAsia="微软雅黑" w:hAnsi="微软雅黑" w:hint="eastAsia"/>
          <w:b/>
          <w:color w:val="auto"/>
          <w:sz w:val="21"/>
          <w:szCs w:val="21"/>
          <w:lang w:val="en-US"/>
        </w:rPr>
        <w:t>3</w:t>
      </w:r>
      <w:r w:rsidRPr="00275960">
        <w:rPr>
          <w:rFonts w:ascii="微软雅黑" w:eastAsia="微软雅黑" w:hAnsi="微软雅黑" w:hint="eastAsia"/>
          <w:b/>
          <w:color w:val="auto"/>
          <w:sz w:val="21"/>
          <w:szCs w:val="21"/>
        </w:rPr>
        <w:t>题共用备选答案）</w:t>
      </w:r>
    </w:p>
    <w:p w14:paraId="425F96D9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A.肺泡通气不足</w:t>
      </w:r>
    </w:p>
    <w:p w14:paraId="682AD2C7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B.通气/血流比例失衡</w:t>
      </w:r>
    </w:p>
    <w:p w14:paraId="4DE5153A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C.弥散功能障碍</w:t>
      </w:r>
    </w:p>
    <w:p w14:paraId="686C325A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D.肺内分流</w:t>
      </w:r>
    </w:p>
    <w:p w14:paraId="19D49032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E.氧耗量增加</w:t>
      </w:r>
    </w:p>
    <w:p w14:paraId="0AAC9E6A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2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.支气管哮喘患者发生Ⅰ型呼吸衰竭最主要的机制是</w:t>
      </w:r>
    </w:p>
    <w:p w14:paraId="1B461097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3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.支气管哮喘患者发生Ⅱ型呼吸衰竭最主要的机制是</w:t>
      </w:r>
    </w:p>
    <w:p w14:paraId="69F740A7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2题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【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答案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】B </w:t>
      </w:r>
    </w:p>
    <w:p w14:paraId="4D7831AA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3题【答案】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A </w:t>
      </w:r>
    </w:p>
    <w:p w14:paraId="17162F49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解析：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 ①Ⅰ型呼衰的发病机制为换气功能障碍，主要有通气／血流比例失调、弥散功能障碍、肺内动一静脉分流，其中肺内分流为通气／血流比例失调的特例。支气管哮喘由于可逆性气流受限，引起通气／血流比例失调，是导致I型呼衰的主要原因(B)。肺弥散功能主要受肺泡毛细血管膜面积、肺泡毛细血管床容积、弥散膜厚度等因素的影响，支气管哮喘患者肺弥散功能正常，故不答C。②Ⅱ型呼衰的发病机制为肺通气功能障碍，可分为限制性通气不足和阻塞性通气不足两类。支气管哮喘表现为阻塞性通气功能障碍，严重者可引起Ⅱ型呼衰(A)。</w:t>
      </w:r>
    </w:p>
    <w:p w14:paraId="4920C5E8" w14:textId="77777777" w:rsidR="00A40C63" w:rsidRPr="00275960" w:rsidRDefault="00A40C63">
      <w:pPr>
        <w:rPr>
          <w:rFonts w:ascii="微软雅黑" w:eastAsia="微软雅黑" w:hAnsi="微软雅黑"/>
          <w:color w:val="auto"/>
          <w:sz w:val="21"/>
          <w:szCs w:val="21"/>
        </w:rPr>
      </w:pPr>
    </w:p>
    <w:p w14:paraId="239BCE55" w14:textId="77777777" w:rsidR="00A40C63" w:rsidRPr="00275960" w:rsidRDefault="00C36196">
      <w:pPr>
        <w:rPr>
          <w:rFonts w:ascii="微软雅黑" w:eastAsia="微软雅黑" w:hAnsi="微软雅黑"/>
          <w:b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b/>
          <w:color w:val="auto"/>
          <w:sz w:val="21"/>
          <w:szCs w:val="21"/>
        </w:rPr>
        <w:t>(1~</w:t>
      </w:r>
      <w:r w:rsidRPr="00275960">
        <w:rPr>
          <w:rFonts w:ascii="微软雅黑" w:eastAsia="微软雅黑" w:hAnsi="微软雅黑" w:hint="eastAsia"/>
          <w:b/>
          <w:color w:val="auto"/>
          <w:sz w:val="21"/>
          <w:szCs w:val="21"/>
          <w:lang w:val="en-US"/>
        </w:rPr>
        <w:t>2</w:t>
      </w:r>
      <w:r w:rsidRPr="00275960">
        <w:rPr>
          <w:rFonts w:ascii="微软雅黑" w:eastAsia="微软雅黑" w:hAnsi="微软雅黑" w:hint="eastAsia"/>
          <w:b/>
          <w:color w:val="auto"/>
          <w:sz w:val="21"/>
          <w:szCs w:val="21"/>
        </w:rPr>
        <w:t>题共用备选答案)</w:t>
      </w:r>
    </w:p>
    <w:p w14:paraId="2B475EEF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lastRenderedPageBreak/>
        <w:t>A.弥散功能障碍</w:t>
      </w:r>
    </w:p>
    <w:p w14:paraId="6C11B84F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B.通气/血流比例失调</w:t>
      </w:r>
    </w:p>
    <w:p w14:paraId="7ED8A575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C.氧耗量增加</w:t>
      </w:r>
    </w:p>
    <w:p w14:paraId="585075F5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D.肺动静脉分流</w:t>
      </w:r>
    </w:p>
    <w:p w14:paraId="21CA2CF8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E.肺泡通气量下降</w:t>
      </w:r>
    </w:p>
    <w:p w14:paraId="642BEE53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1.肺疾病发生单纯低氧血症最主要的机制是</w:t>
      </w:r>
    </w:p>
    <w:p w14:paraId="0462C3E4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2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.间质性肺疾病发生Ⅰ型呼吸衰竭最主要的机制是</w:t>
      </w:r>
    </w:p>
    <w:p w14:paraId="5C01BE38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1题【答案】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B </w:t>
      </w:r>
    </w:p>
    <w:p w14:paraId="49EB539E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2题【答案】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A </w:t>
      </w:r>
    </w:p>
    <w:p w14:paraId="63F3B61A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解析：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 ①正常成人肺泡通气／血流(V/Q)比值约为0.8，V/Q比值无论增大还是减小，都会影响肺换气功能。V/Q比值增大常见于肺血管病变，如肺栓塞。V/Q比值减小常见于肺部病变，如肺泡萎陷、肺炎、肺不张、肺水肿等。V/Q比例失调通常仅导致低氧血症，而无CO2潴留。答案为B。②弥散障碍系指02、CO2等气体通过肺泡膜进行交换的物理弥散过程发生障碍。由于CO2的弥散系数是O2的20倍，故在弥散障碍时，通常以低氧血症为主，此为I型呼吸衰竭的主要发病机制。虽然通气／血流比例失调、肺动静脉分流均可导致I型呼吸衰竭，但不是最主要发病机制，故最佳答案为A而不是BD。③氧耗量增加是造成低氧血症的原因，为Ⅰ型和Ⅱ型呼衰共有的发病机制，故不答C。肺泡通气量下降为Ⅱ型呼衰的发病机制，故不答E。</w:t>
      </w:r>
    </w:p>
    <w:p w14:paraId="179DFE41" w14:textId="77777777" w:rsidR="00A40C63" w:rsidRPr="00275960" w:rsidRDefault="00A40C63">
      <w:pPr>
        <w:rPr>
          <w:rFonts w:ascii="微软雅黑" w:eastAsia="微软雅黑" w:hAnsi="微软雅黑"/>
          <w:color w:val="auto"/>
          <w:sz w:val="21"/>
          <w:szCs w:val="21"/>
        </w:rPr>
      </w:pPr>
    </w:p>
    <w:p w14:paraId="232FD24A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3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.男,75岁，间断咳嗽，咳痰12年,加重伴气短2天就诊。吸烟40余年,每天约1包。胸部X线片示双肺纹理粗乱。动脉血气示pH 7.34，PaC0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 xml:space="preserve">2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48mmHg，PaO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 xml:space="preserve">2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55mmHg。该患者氧疗的最佳方式是</w:t>
      </w:r>
    </w:p>
    <w:p w14:paraId="7CA33014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lastRenderedPageBreak/>
        <w:t>A.持续低流量吸氧</w:t>
      </w:r>
    </w:p>
    <w:p w14:paraId="1B786F3F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B.无重复呼吸面罩吸氧</w:t>
      </w:r>
    </w:p>
    <w:p w14:paraId="765080A7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C.气管插管、机械通气</w:t>
      </w:r>
    </w:p>
    <w:p w14:paraId="09646C6D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D.无创通气</w:t>
      </w:r>
    </w:p>
    <w:p w14:paraId="6CA0387C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E.普通面罩吸氧</w:t>
      </w:r>
    </w:p>
    <w:p w14:paraId="59A3D14D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【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答案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】A </w:t>
      </w:r>
    </w:p>
    <w:p w14:paraId="7CA1524F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解析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 ①慢性呼衰患者行氧疗的指征是PaO2&lt;60mmHg；行机械通气的指征为PaO2&lt;40mmHg、PaCO2&gt;70mmHg、R&gt;35次／分、肺性脑病。故本例应行氧疗而不是机械通气，因此可首先排除答案CD。②COPD早期可表现为Ⅰ型呼衰，晚期表现为Ⅱ型呼衰。患者咳嗽咳痰12年，可诊断为COPD。患者PaO2&lt;60mmHg，PaCO2&lt;50mmHg，应诊断为I型呼吸衰竭。本例虽然是Ⅰ型呼衰，可以适当提高吸氧浓度，但也不宜超过40%，因为COPD引起的是慢性呼衰，而不是急性呼衰（Ⅰ型急性呼衰可采用高浓度给氧），因此应以持续低流量吸氧为宜，答案为A。③慢性呼衰患者临床上最常用最简便的氧疗是使用鼻导管吸氧，故不答BE。</w:t>
      </w:r>
    </w:p>
    <w:p w14:paraId="53DF8AA6" w14:textId="77777777" w:rsidR="00A40C63" w:rsidRPr="00275960" w:rsidRDefault="00A40C63">
      <w:pPr>
        <w:rPr>
          <w:rFonts w:ascii="微软雅黑" w:eastAsia="微软雅黑" w:hAnsi="微软雅黑"/>
          <w:color w:val="auto"/>
          <w:sz w:val="21"/>
          <w:szCs w:val="21"/>
        </w:rPr>
      </w:pPr>
    </w:p>
    <w:p w14:paraId="69E25375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1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.男，67岁。反复咳嗽、咳痰30余年,加重1周。查体:双肺可闻及干湿性啰音。动脉血气分析示:pH 7.21，PaC0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 xml:space="preserve">2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75mmHg,Pa0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 xml:space="preserve">2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50mmHg,HCO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</w:rPr>
        <w:t>3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perscript"/>
        </w:rPr>
        <w:t xml:space="preserve">-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19.6mmol/L。酸碱平衡失调的类型是</w:t>
      </w:r>
    </w:p>
    <w:p w14:paraId="2AA89FAC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A.代谢性碱中毒</w:t>
      </w:r>
    </w:p>
    <w:p w14:paraId="2202601B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B.呼吸性酸中毒合并代谢性酸中毒</w:t>
      </w:r>
    </w:p>
    <w:p w14:paraId="502D9E62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C.代谢性酸中毒</w:t>
      </w:r>
    </w:p>
    <w:p w14:paraId="012206BF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D.呼吸性酸中毒</w:t>
      </w:r>
    </w:p>
    <w:p w14:paraId="11698B81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lastRenderedPageBreak/>
        <w:t>E.呼吸性酸中毒合并代谢性碱中毒</w:t>
      </w:r>
    </w:p>
    <w:p w14:paraId="19199D99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【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答案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】B </w:t>
      </w:r>
    </w:p>
    <w:p w14:paraId="06BFAB5F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解析：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 xml:space="preserve"> ①pH正常值为7.35~7.45，本例pH7.21，可诊断为失代偿性酸中毒，首先排除答案A。②PaCO2为呼吸性指标，判断有无呼酸或呼碱，就看该指标。PaCO2正常值为35~45mmHg，本例PaCO2&gt;45mmHg，应判定为呼吸性酸中毒。③HCO3-为代谢性指标，判断有无代酸或代碱，就看该指标。HCO3-正常值为22~27mmol/L，本例HCO3-&lt;22mmol/L，说明合并有代谢性酸中毒。因此正确答案为B。</w:t>
      </w:r>
    </w:p>
    <w:p w14:paraId="021E20DD" w14:textId="77777777" w:rsidR="00A40C63" w:rsidRPr="00275960" w:rsidRDefault="00A40C63">
      <w:pPr>
        <w:rPr>
          <w:rFonts w:ascii="微软雅黑" w:eastAsia="微软雅黑" w:hAnsi="微软雅黑"/>
          <w:color w:val="auto"/>
          <w:sz w:val="21"/>
          <w:szCs w:val="21"/>
        </w:rPr>
      </w:pPr>
    </w:p>
    <w:p w14:paraId="58DF62BD" w14:textId="77777777" w:rsidR="00A40C63" w:rsidRPr="00275960" w:rsidRDefault="00C36196">
      <w:pPr>
        <w:rPr>
          <w:rFonts w:ascii="微软雅黑" w:eastAsia="微软雅黑" w:hAnsi="微软雅黑"/>
          <w:b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b/>
          <w:color w:val="auto"/>
          <w:sz w:val="21"/>
          <w:szCs w:val="21"/>
        </w:rPr>
        <w:t>(</w:t>
      </w:r>
      <w:r w:rsidRPr="00275960">
        <w:rPr>
          <w:rFonts w:ascii="微软雅黑" w:eastAsia="微软雅黑" w:hAnsi="微软雅黑" w:hint="eastAsia"/>
          <w:b/>
          <w:color w:val="auto"/>
          <w:sz w:val="21"/>
          <w:szCs w:val="21"/>
          <w:lang w:val="en-US"/>
        </w:rPr>
        <w:t>2~3</w:t>
      </w:r>
      <w:r w:rsidRPr="00275960">
        <w:rPr>
          <w:rFonts w:ascii="微软雅黑" w:eastAsia="微软雅黑" w:hAnsi="微软雅黑" w:hint="eastAsia"/>
          <w:b/>
          <w:color w:val="auto"/>
          <w:sz w:val="21"/>
          <w:szCs w:val="21"/>
        </w:rPr>
        <w:t>题共用备选答案)</w:t>
      </w:r>
    </w:p>
    <w:p w14:paraId="0CDBC173" w14:textId="77777777" w:rsidR="00A40C63" w:rsidRPr="00275960" w:rsidRDefault="00C36196">
      <w:pPr>
        <w:jc w:val="both"/>
        <w:rPr>
          <w:rFonts w:ascii="微软雅黑" w:eastAsia="微软雅黑" w:hAnsi="微软雅黑"/>
          <w:color w:val="auto"/>
          <w:sz w:val="21"/>
          <w:szCs w:val="21"/>
          <w:lang w:val="en-US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A.pH 7.38,Pa0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  <w:lang w:val="en-US"/>
        </w:rPr>
        <w:t xml:space="preserve">2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50mmHg,PaC0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  <w:lang w:val="en-US"/>
        </w:rPr>
        <w:t xml:space="preserve">2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40mmHg</w:t>
      </w:r>
    </w:p>
    <w:p w14:paraId="6598FDDD" w14:textId="77777777" w:rsidR="00A40C63" w:rsidRPr="00275960" w:rsidRDefault="00C36196">
      <w:pPr>
        <w:jc w:val="both"/>
        <w:rPr>
          <w:rFonts w:ascii="微软雅黑" w:eastAsia="微软雅黑" w:hAnsi="微软雅黑"/>
          <w:color w:val="auto"/>
          <w:sz w:val="21"/>
          <w:szCs w:val="21"/>
          <w:lang w:val="en-US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B.pH 7.30,Pa0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  <w:lang w:val="en-US"/>
        </w:rPr>
        <w:t xml:space="preserve">2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50mmHg,PaC0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  <w:lang w:val="en-US"/>
        </w:rPr>
        <w:t xml:space="preserve">2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80mmHg</w:t>
      </w:r>
    </w:p>
    <w:p w14:paraId="3950041E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  <w:lang w:val="en-US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C.pH 7.40,PaO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  <w:lang w:val="en-US"/>
        </w:rPr>
        <w:t xml:space="preserve">2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60mmHg,PaCO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  <w:lang w:val="en-US"/>
        </w:rPr>
        <w:t xml:space="preserve">2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65mmHg</w:t>
      </w:r>
    </w:p>
    <w:p w14:paraId="4DBABDE7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  <w:lang w:val="en-US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D.pH 7.35,Pa0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  <w:lang w:val="en-US"/>
        </w:rPr>
        <w:t xml:space="preserve">2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80mmHg,PaC0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  <w:lang w:val="en-US"/>
        </w:rPr>
        <w:t xml:space="preserve">2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20mmHg</w:t>
      </w:r>
    </w:p>
    <w:p w14:paraId="101419F1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  <w:lang w:val="en-US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E.pH 7.25,Pa0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  <w:lang w:val="en-US"/>
        </w:rPr>
        <w:t xml:space="preserve">2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70mmHg,PaC0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vertAlign w:val="subscript"/>
          <w:lang w:val="en-US"/>
        </w:rPr>
        <w:t xml:space="preserve">2 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30mmHg</w:t>
      </w:r>
    </w:p>
    <w:p w14:paraId="6E33EFEA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  <w:lang w:val="en-US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2.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代偿性呼吸性酸中毒</w:t>
      </w:r>
    </w:p>
    <w:p w14:paraId="5987DB24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  <w:lang w:val="en-US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3.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失代偿性呼吸性酸中毒</w:t>
      </w:r>
    </w:p>
    <w:p w14:paraId="4BEEED16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【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答案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】C</w:t>
      </w:r>
    </w:p>
    <w:p w14:paraId="280A4C3F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【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答案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】B</w:t>
      </w:r>
    </w:p>
    <w:p w14:paraId="2E1BCBE7" w14:textId="77777777" w:rsidR="00A40C63" w:rsidRPr="00275960" w:rsidRDefault="00C36196">
      <w:pPr>
        <w:rPr>
          <w:rFonts w:ascii="微软雅黑" w:eastAsia="微软雅黑" w:hAnsi="微软雅黑"/>
          <w:color w:val="auto"/>
          <w:sz w:val="21"/>
          <w:szCs w:val="21"/>
          <w:lang w:val="en-US"/>
        </w:rPr>
      </w:pPr>
      <w:r w:rsidRPr="00275960">
        <w:rPr>
          <w:rFonts w:ascii="微软雅黑" w:eastAsia="微软雅黑" w:hAnsi="微软雅黑" w:hint="eastAsia"/>
          <w:color w:val="auto"/>
          <w:sz w:val="21"/>
          <w:szCs w:val="21"/>
          <w:lang w:val="en-US"/>
        </w:rPr>
        <w:t>解析：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t>pH正常值为7.35~7.45，若所测pH&lt;7.35为失代偿性酸中毒，pH&gt;7.45为失代偿性碱中毒，pH正常表明为代偿性。PaO2只用于判断有无呼吸衰竭，并不是呼酸或呼碱的判断指标。PaCO2为呼吸性指标，判断有无呼酸或呼碱，就看该指标。PaCO2正常值为35~45mmHg。若PaCO2&gt;45mmHg为呼酸，若PaCO2&lt;35mmHg为呼碱。因此，</w:t>
      </w:r>
      <w:r w:rsidRPr="00275960">
        <w:rPr>
          <w:rFonts w:ascii="微软雅黑" w:eastAsia="微软雅黑" w:hAnsi="微软雅黑" w:hint="eastAsia"/>
          <w:color w:val="auto"/>
          <w:sz w:val="21"/>
          <w:szCs w:val="21"/>
        </w:rPr>
        <w:lastRenderedPageBreak/>
        <w:t>答案C项的“pH7.40，PaCO265mmHg”，为代偿性呼酸；答案B项的“pH7.30，PaCO280mmHg”，为失代偿性呼酸。</w:t>
      </w:r>
    </w:p>
    <w:sectPr w:rsidR="00A40C63" w:rsidRPr="0027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88E2" w14:textId="77777777" w:rsidR="003178DE" w:rsidRDefault="003178DE" w:rsidP="00275960">
      <w:r>
        <w:separator/>
      </w:r>
    </w:p>
  </w:endnote>
  <w:endnote w:type="continuationSeparator" w:id="0">
    <w:p w14:paraId="2E139D25" w14:textId="77777777" w:rsidR="003178DE" w:rsidRDefault="003178DE" w:rsidP="0027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36C7" w14:textId="77777777" w:rsidR="003178DE" w:rsidRDefault="003178DE" w:rsidP="00275960">
      <w:r>
        <w:separator/>
      </w:r>
    </w:p>
  </w:footnote>
  <w:footnote w:type="continuationSeparator" w:id="0">
    <w:p w14:paraId="6B78454C" w14:textId="77777777" w:rsidR="003178DE" w:rsidRDefault="003178DE" w:rsidP="0027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E4"/>
    <w:rsid w:val="00275960"/>
    <w:rsid w:val="003178DE"/>
    <w:rsid w:val="005C098B"/>
    <w:rsid w:val="00637A26"/>
    <w:rsid w:val="006D3EE4"/>
    <w:rsid w:val="0075167A"/>
    <w:rsid w:val="00A40C63"/>
    <w:rsid w:val="00C36196"/>
    <w:rsid w:val="00D45727"/>
    <w:rsid w:val="00FF0390"/>
    <w:rsid w:val="29DF1929"/>
    <w:rsid w:val="2E0219BA"/>
    <w:rsid w:val="3DFE72E8"/>
    <w:rsid w:val="3FB94F09"/>
    <w:rsid w:val="44A36659"/>
    <w:rsid w:val="485E1ECD"/>
    <w:rsid w:val="5AFD1B6C"/>
    <w:rsid w:val="601C1CA6"/>
    <w:rsid w:val="7768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9EBC2E"/>
  <w15:docId w15:val="{7215689E-544E-4295-9322-41883FB8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宋体" w:eastAsia="宋体" w:hAnsi="宋体" w:cs="宋体"/>
      <w:color w:val="00000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960"/>
    <w:rPr>
      <w:rFonts w:ascii="宋体" w:eastAsia="宋体" w:hAnsi="宋体" w:cs="宋体"/>
      <w:color w:val="000000"/>
      <w:sz w:val="18"/>
      <w:szCs w:val="18"/>
      <w:lang w:val="zh-CN" w:bidi="zh-CN"/>
    </w:rPr>
  </w:style>
  <w:style w:type="paragraph" w:styleId="a5">
    <w:name w:val="footer"/>
    <w:basedOn w:val="a"/>
    <w:link w:val="a6"/>
    <w:uiPriority w:val="99"/>
    <w:unhideWhenUsed/>
    <w:rsid w:val="002759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5960"/>
    <w:rPr>
      <w:rFonts w:ascii="宋体" w:eastAsia="宋体" w:hAnsi="宋体" w:cs="宋体"/>
      <w:color w:val="00000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璐</dc:creator>
  <cp:lastModifiedBy>谭 思棋</cp:lastModifiedBy>
  <cp:revision>4</cp:revision>
  <dcterms:created xsi:type="dcterms:W3CDTF">2021-01-08T09:34:00Z</dcterms:created>
  <dcterms:modified xsi:type="dcterms:W3CDTF">2021-08-05T06:23:00Z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