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312" w:lineRule="auto"/>
        <w:jc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b/>
          <w:sz w:val="24"/>
        </w:rPr>
        <w:t>2023年执业药师《中药学专业知识（一）》新旧教材对比</w:t>
      </w:r>
    </w:p>
    <w:tbl>
      <w:tblPr>
        <w:tblStyle w:val="3"/>
        <w:tblW w:w="9720" w:type="dxa"/>
        <w:tblInd w:w="-22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single" w:color="999999" w:sz="6" w:space="0"/>
          <w:insideV w:val="single" w:color="999999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1680"/>
        <w:gridCol w:w="1665"/>
        <w:gridCol w:w="855"/>
        <w:gridCol w:w="825"/>
        <w:gridCol w:w="4695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20" w:hRule="atLeast"/>
        </w:trPr>
        <w:tc>
          <w:tcPr>
            <w:tcW w:w="33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篇/章（目录）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页码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变化内容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00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spacing w:val="0"/>
                <w:sz w:val="21"/>
                <w:szCs w:val="21"/>
              </w:rPr>
              <w:t>2022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2023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spacing w:val="0"/>
                <w:sz w:val="21"/>
                <w:szCs w:val="21"/>
              </w:rPr>
              <w:t>2022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 w:val="21"/>
                <w:szCs w:val="21"/>
              </w:rPr>
              <w:t>2023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中医防治疾病的医疗手段主要有五种，即中药、针刺、灸、推拿、祝由，而中药尤为重要。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中医防治疾病的医疗手段主要有中药、针刺、灸、推拿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，而中药尤为重要。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素问·五脏生成篇》云:“多食咸，则脉凝泣而变色”故食盐类咸味药不宜多食，高血压动脉硬化者尤当如此。有的咸味药如芒硝，能泻下通肠，脾虚便塘者慎用。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素问·五脏生成篇》云:“多食咸，则脉凝泣而变色”故食盐类咸味药不宜多食，高血压动脉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粥样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硬化者尤当如此。有的咸味药如芒硝，能泻下通肠，脾虚便塘者慎用。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又如麻黄生用辛散解表作用较强，经蜜炙后，其所含具辛散解表作用的挥发油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含量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减少。辛散作用缓和，且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熟蜜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可润燥，能与麻黄起协同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作用。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又如麻黄生用辛散解表作用较强，经蜜炙后，其所含具辛散解表作用的挥发油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含量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减少。辛散作用缓和，且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炼蜜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可润燥，能与麻黄起协同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作用。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如《中国药典》规定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药屑杂质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通常不得过3%。有些具体品种《中国药典》也做了规定，如广藿香杂质不得过2%，金钱草杂质不得过8%等。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如《中国药典》规定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药屑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杂质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通常不得过3%。有些具体品种《中国药典》也做了规定，如广藿香杂质不得过2%，金钱草杂质不得过8%等。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第一章 中药与药品质量标准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煎膏剂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性状、(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反砂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、分层)、鉴别、相对密度、不溶物、含量测定、微生物限度检查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煎膏剂</w:t>
            </w:r>
          </w:p>
          <w:p>
            <w:pPr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性状、(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返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eastAsia="zh-CN"/>
              </w:rPr>
              <w:t>砂</w:t>
            </w:r>
            <w:r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  <w:t>、分层)、鉴别、相对密度、不溶物、含量测定、微生物限度检查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第二章中药材生产和中药饮片炮制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第二章中药材生产和中药饮片炮制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100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86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③炮姜温经止血，温中止痛，其辛燥之性较干姜弱，温里之力不如干姜迅猛，但作用缓和持久，且长于温中止痛、止泻和温经止血。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③炮姜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味辛，性热。归脾、胃、肾经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。温经止血，温中止痛，其辛燥之性较干姜弱，温里之力不如干姜迅猛，但作用缓和持久，且长于温中止痛、止泻和温经止血。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第二章中药材生产和中药饮片炮制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第二章中药材生产和中药饮片炮制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（1）醋炙的主要目的  </w:t>
            </w:r>
            <w:r>
              <w:rPr>
                <w:rFonts w:hint="default" w:ascii="Calibri" w:hAnsi="Calibri" w:eastAsia="楷体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引药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肝，增强活血止痛作用。如乳香、没药、三棱、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莪术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等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numPr>
                <w:ilvl w:val="0"/>
                <w:numId w:val="0"/>
              </w:num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（1）醋炙的主要目的  </w:t>
            </w:r>
            <w:r>
              <w:rPr>
                <w:rFonts w:hint="default" w:ascii="Calibri" w:hAnsi="Calibri" w:eastAsia="楷体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引药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入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肝，增强活血止痛作用。如乳香、没药、三棱等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第三章中药化学成分与药理作用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color w:val="000000"/>
                <w:spacing w:val="0"/>
                <w:sz w:val="21"/>
                <w:szCs w:val="21"/>
              </w:rPr>
              <w:t>第三章中药化学成分与药理作用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180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158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第三节醌类化合物</w:t>
            </w:r>
          </w:p>
          <w:p>
            <w:pPr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1.何首乌的主要蒽醌类成分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（三）何首乌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制何首乌含二苯乙烯苷不得少于 0.70%；对何首乌和制何首乌要求结合蒽醌均不得少于 0.10%（以大黄素和大黄素甲醚计）。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（三）何首乌</w:t>
            </w:r>
          </w:p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结合蒽醌不得少于0.10%（以大黄素和大黄素甲醚总量计）；以二苯乙烯苷和游离蒽醌为指标成分对制何首乌进行含量测定，要求制何首乌含二苯乙烯苷不得少于0.70%，含游离蒽醌不得少于0.10%（以大黄素和大黄素甲醚总量计）。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50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  <w:lang w:eastAsia="zh-CN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201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177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2.芦丁的体内代谢途径</w:t>
            </w:r>
          </w:p>
          <w:p>
            <w:pPr>
              <w:pBdr>
                <w:bottom w:val="none" w:color="auto" w:sz="0" w:space="0"/>
              </w:pBd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3,4-二羟基苯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甲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酸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3,4-二羟基苯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酸</w:t>
            </w:r>
          </w:p>
          <w:p>
            <w:pPr>
              <w:pBdr>
                <w:bottom w:val="none" w:color="auto" w:sz="0" w:space="0"/>
              </w:pBdr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3-羟基苯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甲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酸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3-羟基苯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乙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酸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50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第四章 常用中药的鉴别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Bdr>
                <w:bottom w:val="none" w:color="auto" w:sz="0" w:space="0"/>
              </w:pBd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无变化</w:t>
            </w:r>
            <w:bookmarkStart w:id="0" w:name="_GoBack"/>
            <w:bookmarkEnd w:id="0"/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50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第五章 中药制剂与剂型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第五章 中药制剂与剂型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="105" w:leftChars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（2）粒度  不能通过一号筛与能通过五号筛的总和不得过15%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numPr>
                <w:ilvl w:val="0"/>
                <w:numId w:val="0"/>
              </w:numPr>
              <w:pBdr>
                <w:bottom w:val="none" w:color="auto" w:sz="0" w:space="0"/>
              </w:pBdr>
              <w:ind w:left="105" w:leftChars="0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（2）粒度  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除另有规定外，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不能通过一号筛与能通过五号筛的总和不得过15%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single" w:color="999999" w:sz="6" w:space="0"/>
            <w:insideV w:val="single" w:color="999999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50" w:hRule="atLeast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第五章 中药制剂与剂型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第五章 中药制剂与剂型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4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楷体" w:cs="Calibri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口腔贴片:系指粘贴于口腔，经黏膜吸收后起局部或全身作用的片剂。口腔贴片应进行溶出度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释放度检查</w:t>
            </w:r>
          </w:p>
          <w:p>
            <w:pP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</w:rPr>
              <w:t>改为</w:t>
            </w:r>
          </w:p>
          <w:p>
            <w:pPr>
              <w:rPr>
                <w:rFonts w:hint="eastAsia" w:ascii="楷体" w:hAnsi="楷体" w:eastAsia="楷体" w:cs="楷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alibri" w:hAnsi="Calibri" w:eastAsia="楷体" w:cs="Calibri"/>
                <w:sz w:val="18"/>
                <w:szCs w:val="18"/>
                <w:lang w:val="en-US" w:eastAsia="zh-CN"/>
              </w:rPr>
              <w:t>③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口腔贴片:系指粘贴于口腔，经黏膜吸收后起局部或全身作用的片剂。口腔贴片应进行溶出度</w:t>
            </w:r>
            <w:r>
              <w:rPr>
                <w:rFonts w:hint="eastAsia" w:ascii="楷体" w:hAnsi="楷体" w:eastAsia="楷体" w:cs="楷体"/>
                <w:color w:val="FF000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释放度检查</w:t>
            </w:r>
          </w:p>
        </w:tc>
      </w:tr>
    </w:tbl>
    <w:p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xNzk0MmEzYzc1ODk0NDk3YjA4YzQzNTc5MDdiZTEifQ=="/>
  </w:docVars>
  <w:rsids>
    <w:rsidRoot w:val="00000000"/>
    <w:rsid w:val="08BA6D7F"/>
    <w:rsid w:val="09C8271C"/>
    <w:rsid w:val="3CFC3D42"/>
    <w:rsid w:val="5D3A3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1481</Words>
  <Characters>1564</Characters>
  <TotalTime>2</TotalTime>
  <ScaleCrop>false</ScaleCrop>
  <LinksUpToDate>false</LinksUpToDate>
  <CharactersWithSpaces>1593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2022-12-10T13:16:00Z</dcterms:created>
  <dc:creator>Administrator</dc:creator>
  <cp:lastModifiedBy>水果</cp:lastModifiedBy>
  <dcterms:modified xsi:type="dcterms:W3CDTF">2022-12-23T14:20:04Z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DDDD8452BC964735886D92ECDBED7888</vt:lpwstr>
  </property>
</Properties>
</file>