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544" w:lineRule="auto"/>
        <w:ind w:left="482" w:right="1916" w:firstLine="1966"/>
        <w:jc w:val="both"/>
        <w:rPr>
          <w:b/>
          <w:bCs/>
        </w:rPr>
      </w:pPr>
      <w:bookmarkStart w:id="0" w:name="_GoBack"/>
      <w:r>
        <w:rPr>
          <w:b/>
          <w:bCs/>
        </w:rPr>
        <w:t>2019 内分泌学主治医师专业知识大纲</w:t>
      </w:r>
      <w:bookmarkEnd w:id="0"/>
    </w:p>
    <w:p>
      <w:pPr>
        <w:spacing w:before="48" w:line="544" w:lineRule="auto"/>
        <w:ind w:left="482" w:right="1916" w:firstLine="1966"/>
        <w:jc w:val="both"/>
        <w:rPr>
          <w:sz w:val="21"/>
        </w:rPr>
      </w:pPr>
      <w:r>
        <w:rPr>
          <w:sz w:val="24"/>
        </w:rPr>
        <w:t>标*为 309 内科学专业知识考核内容</w:t>
      </w:r>
    </w:p>
    <w:tbl>
      <w:tblPr>
        <w:tblStyle w:val="9"/>
        <w:tblW w:w="9880" w:type="dxa"/>
        <w:tblInd w:w="130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3831"/>
        <w:gridCol w:w="3029"/>
        <w:gridCol w:w="1270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50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0"/>
              <w:ind w:left="9"/>
              <w:rPr>
                <w:sz w:val="24"/>
              </w:rPr>
            </w:pPr>
            <w:r>
              <w:rPr>
                <w:sz w:val="24"/>
              </w:rPr>
              <w:t>单 元</w:t>
            </w:r>
          </w:p>
        </w:tc>
        <w:tc>
          <w:tcPr>
            <w:tcW w:w="3831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0"/>
              <w:ind w:left="11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  <w:tc>
          <w:tcPr>
            <w:tcW w:w="3029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0"/>
              <w:ind w:left="11"/>
              <w:rPr>
                <w:sz w:val="24"/>
              </w:rPr>
            </w:pPr>
            <w:r>
              <w:rPr>
                <w:sz w:val="24"/>
              </w:rPr>
              <w:t>要点</w:t>
            </w:r>
          </w:p>
        </w:tc>
        <w:tc>
          <w:tcPr>
            <w:tcW w:w="1270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0"/>
              <w:ind w:left="12"/>
              <w:rPr>
                <w:sz w:val="24"/>
              </w:rPr>
            </w:pPr>
            <w:r>
              <w:rPr>
                <w:sz w:val="24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750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95" w:line="364" w:lineRule="auto"/>
              <w:ind w:left="9" w:right="30"/>
              <w:rPr>
                <w:sz w:val="24"/>
              </w:rPr>
            </w:pPr>
            <w:r>
              <w:rPr>
                <w:sz w:val="24"/>
              </w:rPr>
              <w:t>一、内分泌及代谢疾病总论*</w:t>
            </w: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4"/>
              <w:rPr>
                <w:sz w:val="31"/>
              </w:rPr>
            </w:pPr>
          </w:p>
          <w:p>
            <w:pPr>
              <w:pStyle w:val="12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1.内分泌系统及激素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"/>
              <w:rPr>
                <w:sz w:val="18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3"/>
              </w:tabs>
              <w:spacing w:before="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内分泌概念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内分泌系统及其调节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3"/>
              </w:tabs>
              <w:spacing w:before="26" w:after="0" w:line="468" w:lineRule="exact"/>
              <w:ind w:left="11" w:right="-15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激素的分类、作用及作</w:t>
            </w:r>
            <w:r>
              <w:rPr>
                <w:sz w:val="24"/>
              </w:rPr>
              <w:t>用机制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"/>
              <w:rPr>
                <w:sz w:val="18"/>
              </w:rPr>
            </w:pPr>
          </w:p>
          <w:p>
            <w:pPr>
              <w:pStyle w:val="12"/>
              <w:spacing w:before="1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z w:val="24"/>
              </w:rPr>
              <w:t>掌握了解了解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75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8"/>
              <w:rPr>
                <w:sz w:val="18"/>
              </w:rPr>
            </w:pPr>
          </w:p>
          <w:p>
            <w:pPr>
              <w:pStyle w:val="12"/>
              <w:spacing w:line="364" w:lineRule="auto"/>
              <w:ind w:left="11" w:right="187"/>
              <w:rPr>
                <w:sz w:val="24"/>
              </w:rPr>
            </w:pPr>
            <w:r>
              <w:rPr>
                <w:sz w:val="24"/>
              </w:rPr>
              <w:t>2.常见内分泌代谢性疾病的诊治原则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内分泌功能紊乱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13"/>
              </w:tabs>
              <w:spacing w:before="161" w:after="0" w:line="364" w:lineRule="auto"/>
              <w:ind w:left="11" w:right="-15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病因、病理、及定位诊</w:t>
            </w:r>
            <w:r>
              <w:rPr>
                <w:sz w:val="24"/>
              </w:rPr>
              <w:t>断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13"/>
              </w:tabs>
              <w:spacing w:before="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内分泌疾病的治疗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8" w:line="364" w:lineRule="auto"/>
              <w:ind w:left="12" w:right="745"/>
              <w:rPr>
                <w:sz w:val="24"/>
              </w:rPr>
            </w:pPr>
            <w:r>
              <w:rPr>
                <w:spacing w:val="-9"/>
                <w:sz w:val="24"/>
              </w:rPr>
              <w:t>掌握熟悉</w:t>
            </w: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62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750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5"/>
              <w:rPr>
                <w:sz w:val="25"/>
              </w:rPr>
            </w:pPr>
          </w:p>
          <w:p>
            <w:pPr>
              <w:pStyle w:val="12"/>
              <w:spacing w:line="364" w:lineRule="auto"/>
              <w:ind w:left="9" w:right="30"/>
              <w:rPr>
                <w:sz w:val="24"/>
              </w:rPr>
            </w:pPr>
            <w:r>
              <w:rPr>
                <w:sz w:val="24"/>
              </w:rPr>
              <w:t>二、下丘脑和垂体疾病</w:t>
            </w: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67"/>
              <w:ind w:left="11"/>
              <w:rPr>
                <w:sz w:val="24"/>
              </w:rPr>
            </w:pPr>
            <w:r>
              <w:rPr>
                <w:sz w:val="24"/>
              </w:rPr>
              <w:t>1.垂体瘤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13"/>
              </w:tabs>
              <w:spacing w:before="8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垂体瘤的分类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泌乳素瘤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81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了解熟悉了解</w:t>
            </w:r>
          </w:p>
          <w:p>
            <w:pPr>
              <w:pStyle w:val="12"/>
              <w:spacing w:before="2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75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2.巨人症和肢端肥大症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13"/>
              </w:tabs>
              <w:spacing w:before="7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1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熟悉掌握熟悉</w:t>
            </w:r>
          </w:p>
          <w:p>
            <w:pPr>
              <w:pStyle w:val="12"/>
              <w:spacing w:before="2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175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5"/>
              </w:rPr>
            </w:pPr>
          </w:p>
          <w:p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3.腺垂体功能减退症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13"/>
              </w:tabs>
              <w:spacing w:before="73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13"/>
              </w:tabs>
              <w:spacing w:before="161" w:after="0" w:line="364" w:lineRule="auto"/>
              <w:ind w:left="11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临床表现（</w:t>
            </w:r>
            <w:r>
              <w:rPr>
                <w:spacing w:val="-5"/>
                <w:sz w:val="24"/>
              </w:rPr>
              <w:t>包括垂体危</w:t>
            </w:r>
            <w:r>
              <w:rPr>
                <w:sz w:val="24"/>
              </w:rPr>
              <w:t>象）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13"/>
              </w:tabs>
              <w:spacing w:before="2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实验室和其它检查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3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</w:t>
            </w:r>
          </w:p>
          <w:p>
            <w:pPr>
              <w:pStyle w:val="12"/>
              <w:spacing w:before="10"/>
              <w:rPr>
                <w:sz w:val="24"/>
              </w:rPr>
            </w:pPr>
          </w:p>
          <w:p>
            <w:pPr>
              <w:pStyle w:val="12"/>
              <w:spacing w:line="460" w:lineRule="atLeast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11"/>
              <w:rPr>
                <w:sz w:val="23"/>
              </w:rPr>
            </w:pPr>
          </w:p>
          <w:p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4.生长激素缺乏性侏儒症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13"/>
              </w:tabs>
              <w:spacing w:before="7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13"/>
              </w:tabs>
              <w:spacing w:before="8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71"/>
              <w:ind w:left="1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2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2"/>
              <w:spacing w:before="88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2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67"/>
              <w:ind w:left="11" w:leftChars="0"/>
              <w:rPr>
                <w:sz w:val="24"/>
              </w:rPr>
            </w:pPr>
            <w:r>
              <w:rPr>
                <w:sz w:val="24"/>
              </w:rPr>
              <w:t>5.尿崩症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</w:t>
            </w:r>
          </w:p>
          <w:p>
            <w:pPr>
              <w:pStyle w:val="12"/>
              <w:spacing w:before="2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restart"/>
            <w:tcBorders>
              <w:left w:val="single" w:color="EFEFEF" w:sz="12" w:space="0"/>
              <w:right w:val="single" w:color="9F9F9F" w:sz="12" w:space="0"/>
            </w:tcBorders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8"/>
              <w:rPr>
                <w:sz w:val="28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  <w:szCs w:val="21"/>
              </w:rPr>
            </w:pPr>
            <w:r>
              <w:rPr>
                <w:sz w:val="24"/>
              </w:rPr>
              <w:t>三、甲状腺疾病</w:t>
            </w:r>
          </w:p>
        </w:tc>
        <w:tc>
          <w:tcPr>
            <w:tcW w:w="3831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3"/>
              <w:rPr>
                <w:sz w:val="32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1.甲状腺功能亢进症*</w:t>
            </w:r>
          </w:p>
        </w:tc>
        <w:tc>
          <w:tcPr>
            <w:tcW w:w="3029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病因、发病机制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辅助性检查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治疗方法及其适应证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甲状腺眼病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甲亢合并周期性麻痹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甲亢性心脏病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甲状腺危象</w:t>
            </w:r>
          </w:p>
        </w:tc>
        <w:tc>
          <w:tcPr>
            <w:tcW w:w="1270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熟悉掌握掌握掌握掌握熟悉了解了解</w:t>
            </w:r>
          </w:p>
          <w:p>
            <w:pPr>
              <w:pStyle w:val="12"/>
              <w:spacing w:before="6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spacing w:before="12"/>
              <w:rPr>
                <w:sz w:val="23"/>
              </w:rPr>
            </w:pPr>
          </w:p>
          <w:p>
            <w:pPr>
              <w:pStyle w:val="12"/>
              <w:spacing w:line="364" w:lineRule="auto"/>
              <w:ind w:left="11" w:leftChars="0" w:right="187" w:rightChars="0"/>
              <w:rPr>
                <w:sz w:val="24"/>
              </w:rPr>
            </w:pPr>
            <w:r>
              <w:rPr>
                <w:sz w:val="24"/>
              </w:rPr>
              <w:t>2.甲状腺功能减退与粘液性水肿昏迷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13"/>
              </w:tabs>
              <w:spacing w:before="7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常见病因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诊断与治疗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1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2"/>
              <w:spacing w:before="8" w:line="460" w:lineRule="atLeast"/>
              <w:ind w:left="12" w:leftChars="0" w:right="745" w:rightChars="0"/>
              <w:rPr>
                <w:sz w:val="24"/>
              </w:rPr>
            </w:pPr>
            <w:r>
              <w:rPr>
                <w:spacing w:val="-9"/>
                <w:sz w:val="24"/>
              </w:rPr>
              <w:t>掌握熟悉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7"/>
              <w:rPr>
                <w:sz w:val="30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3.甲状腺炎亚急性甲状腺炎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13"/>
              </w:tabs>
              <w:spacing w:before="7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1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了解熟悉熟悉熟悉</w:t>
            </w:r>
          </w:p>
          <w:p>
            <w:pPr>
              <w:pStyle w:val="12"/>
              <w:spacing w:before="2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8"/>
              <w:rPr>
                <w:sz w:val="30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4.慢性淋巴细胞性甲状腺炎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13"/>
              </w:tabs>
              <w:spacing w:before="7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1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了解熟悉熟悉熟悉</w:t>
            </w:r>
          </w:p>
          <w:p>
            <w:pPr>
              <w:pStyle w:val="12"/>
              <w:spacing w:before="3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spacing w:before="71"/>
              <w:ind w:left="11" w:leftChars="0"/>
              <w:rPr>
                <w:sz w:val="24"/>
              </w:rPr>
            </w:pPr>
            <w:r>
              <w:rPr>
                <w:sz w:val="24"/>
              </w:rPr>
              <w:t>5.单纯性甲状腺肿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spacing w:before="71"/>
              <w:ind w:left="11" w:leftChars="0"/>
              <w:rPr>
                <w:sz w:val="24"/>
              </w:rPr>
            </w:pPr>
            <w:r>
              <w:rPr>
                <w:sz w:val="24"/>
              </w:rPr>
              <w:t>（1）病因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13"/>
              </w:tabs>
              <w:spacing w:before="8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13"/>
              </w:tabs>
              <w:spacing w:before="8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1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restart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"/>
              <w:rPr>
                <w:sz w:val="20"/>
              </w:rPr>
            </w:pPr>
          </w:p>
          <w:p>
            <w:pPr>
              <w:pStyle w:val="12"/>
              <w:ind w:left="9" w:leftChars="0"/>
              <w:rPr>
                <w:sz w:val="21"/>
                <w:szCs w:val="21"/>
              </w:rPr>
            </w:pPr>
            <w:r>
              <w:rPr>
                <w:sz w:val="24"/>
              </w:rPr>
              <w:t>四、肾上腺疾病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8"/>
              <w:rPr>
                <w:sz w:val="18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1.库欣综合征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病因、临床表现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8"/>
              <w:rPr>
                <w:sz w:val="18"/>
              </w:rPr>
            </w:pPr>
          </w:p>
          <w:p>
            <w:pPr>
              <w:pStyle w:val="12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2"/>
              <w:rPr>
                <w:sz w:val="31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2.原发性醛固酮增多症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病因病理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了解熟悉熟悉熟悉</w:t>
            </w:r>
          </w:p>
          <w:p>
            <w:pPr>
              <w:pStyle w:val="12"/>
              <w:spacing w:before="3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66"/>
              <w:ind w:left="11" w:leftChars="0"/>
              <w:rPr>
                <w:sz w:val="24"/>
              </w:rPr>
            </w:pPr>
            <w:r>
              <w:rPr>
                <w:sz w:val="24"/>
              </w:rPr>
              <w:t>3.嗜铬细胞瘤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</w:t>
            </w:r>
          </w:p>
          <w:p>
            <w:pPr>
              <w:pStyle w:val="12"/>
              <w:spacing w:before="2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4"/>
              <w:rPr>
                <w:sz w:val="25"/>
              </w:rPr>
            </w:pPr>
          </w:p>
          <w:p>
            <w:pPr>
              <w:pStyle w:val="12"/>
              <w:spacing w:before="1"/>
              <w:ind w:left="11" w:leftChars="0"/>
              <w:rPr>
                <w:sz w:val="24"/>
              </w:rPr>
            </w:pPr>
            <w:r>
              <w:rPr>
                <w:sz w:val="24"/>
              </w:rPr>
              <w:t>4.原发性肾上腺皮质功能减退症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病因和病理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13"/>
              </w:tabs>
              <w:spacing w:before="161" w:after="0" w:line="364" w:lineRule="auto"/>
              <w:ind w:left="11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临床表现（</w:t>
            </w:r>
            <w:r>
              <w:rPr>
                <w:spacing w:val="-5"/>
                <w:sz w:val="24"/>
              </w:rPr>
              <w:t>包括肾上腺</w:t>
            </w:r>
            <w:r>
              <w:rPr>
                <w:sz w:val="24"/>
              </w:rPr>
              <w:t>危象）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13"/>
              </w:tabs>
              <w:spacing w:before="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4"/>
              <w:rPr>
                <w:sz w:val="25"/>
              </w:rPr>
            </w:pPr>
          </w:p>
          <w:p>
            <w:pPr>
              <w:pStyle w:val="12"/>
              <w:spacing w:before="1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Align w:val="top"/>
          </w:tcPr>
          <w:p>
            <w:pPr>
              <w:pStyle w:val="12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五、内分泌性高</w:t>
            </w:r>
          </w:p>
          <w:p>
            <w:pPr>
              <w:pStyle w:val="12"/>
              <w:spacing w:before="161"/>
              <w:ind w:left="9" w:leftChars="0"/>
              <w:rPr>
                <w:sz w:val="21"/>
                <w:szCs w:val="21"/>
              </w:rPr>
            </w:pPr>
            <w:r>
              <w:rPr>
                <w:sz w:val="24"/>
              </w:rPr>
              <w:t>血压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spacing w:before="6"/>
              <w:rPr>
                <w:sz w:val="24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有高血压表现的内分泌疾病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spacing w:before="6"/>
              <w:rPr>
                <w:sz w:val="24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常见的病种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6"/>
              <w:rPr>
                <w:sz w:val="24"/>
              </w:rPr>
            </w:pPr>
          </w:p>
          <w:p>
            <w:pPr>
              <w:pStyle w:val="12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restart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9"/>
              <w:rPr>
                <w:sz w:val="26"/>
              </w:rPr>
            </w:pPr>
          </w:p>
          <w:p>
            <w:pPr>
              <w:pStyle w:val="12"/>
              <w:spacing w:line="364" w:lineRule="auto"/>
              <w:ind w:left="9" w:leftChars="0" w:right="30" w:rightChars="0"/>
              <w:rPr>
                <w:sz w:val="21"/>
                <w:szCs w:val="21"/>
              </w:rPr>
            </w:pPr>
            <w:r>
              <w:rPr>
                <w:sz w:val="24"/>
              </w:rPr>
              <w:t>六、甲状旁腺疾病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3"/>
              <w:rPr>
                <w:sz w:val="31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1.原发性甲状旁腺功能亢进症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病因和病理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病理生理和临床表现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3"/>
              <w:rPr>
                <w:sz w:val="31"/>
              </w:rPr>
            </w:pPr>
          </w:p>
          <w:p>
            <w:pPr>
              <w:pStyle w:val="12"/>
              <w:ind w:left="12" w:leftChars="0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spacing w:before="11"/>
              <w:rPr>
                <w:sz w:val="23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2.原发性甲状旁腺功能减退症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613"/>
              </w:tabs>
              <w:spacing w:before="7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病因和病理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病理生理和临床表现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13"/>
              </w:tabs>
              <w:spacing w:before="8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11"/>
              <w:rPr>
                <w:sz w:val="23"/>
              </w:rPr>
            </w:pPr>
          </w:p>
          <w:p>
            <w:pPr>
              <w:pStyle w:val="12"/>
              <w:ind w:left="12" w:leftChars="0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3"/>
              <w:rPr>
                <w:sz w:val="32"/>
              </w:rPr>
            </w:pPr>
          </w:p>
          <w:p>
            <w:pPr>
              <w:pStyle w:val="12"/>
              <w:ind w:left="9" w:leftChars="0"/>
              <w:rPr>
                <w:sz w:val="21"/>
                <w:szCs w:val="21"/>
              </w:rPr>
            </w:pPr>
            <w:r>
              <w:rPr>
                <w:sz w:val="24"/>
              </w:rPr>
              <w:t>七、糖尿病*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ind w:left="107" w:leftChars="0"/>
              <w:rPr>
                <w:sz w:val="24"/>
              </w:rPr>
            </w:pP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诊断标准和分型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综合治疗原则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口服降血糖药物治疗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胰岛素治疗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常见的慢性并发症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161" w:after="0" w:line="364" w:lineRule="auto"/>
              <w:ind w:left="11" w:right="-1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糖尿病酮症酸中毒和高</w:t>
            </w:r>
            <w:r>
              <w:rPr>
                <w:sz w:val="24"/>
              </w:rPr>
              <w:t>渗性非酮性昏迷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13"/>
              </w:tabs>
              <w:spacing w:before="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乳酸性酸中毒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3"/>
              <w:rPr>
                <w:sz w:val="32"/>
              </w:rPr>
            </w:pPr>
          </w:p>
          <w:p>
            <w:pPr>
              <w:pStyle w:val="12"/>
              <w:ind w:left="12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64"/>
              <w:ind w:left="9" w:leftChars="0"/>
              <w:rPr>
                <w:sz w:val="21"/>
                <w:szCs w:val="21"/>
              </w:rPr>
            </w:pPr>
            <w:r>
              <w:rPr>
                <w:sz w:val="24"/>
              </w:rPr>
              <w:t>八、低血糖症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ind w:left="107" w:leftChars="0"/>
              <w:rPr>
                <w:sz w:val="24"/>
              </w:rPr>
            </w:pP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常见原因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处理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胰岛素瘤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熟悉掌握掌握</w:t>
            </w:r>
          </w:p>
          <w:p>
            <w:pPr>
              <w:pStyle w:val="12"/>
              <w:spacing w:before="2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2"/>
              <w:rPr>
                <w:sz w:val="31"/>
              </w:rPr>
            </w:pPr>
          </w:p>
          <w:p>
            <w:pPr>
              <w:pStyle w:val="12"/>
              <w:spacing w:line="364" w:lineRule="auto"/>
              <w:ind w:left="9" w:leftChars="0" w:right="30" w:rightChars="0"/>
              <w:rPr>
                <w:sz w:val="21"/>
                <w:szCs w:val="21"/>
              </w:rPr>
            </w:pPr>
            <w:r>
              <w:rPr>
                <w:sz w:val="24"/>
              </w:rPr>
              <w:t>九、血脂和脂蛋白异常血症*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ind w:left="107" w:leftChars="0"/>
              <w:rPr>
                <w:sz w:val="24"/>
              </w:rPr>
            </w:pP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概述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脂蛋白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血脂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高脂蛋白血症分类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熟悉熟悉熟悉熟悉掌握</w:t>
            </w:r>
          </w:p>
          <w:p>
            <w:pPr>
              <w:pStyle w:val="12"/>
              <w:spacing w:before="3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65"/>
              <w:ind w:left="9" w:leftChars="0"/>
              <w:rPr>
                <w:sz w:val="21"/>
                <w:szCs w:val="21"/>
              </w:rPr>
            </w:pPr>
            <w:r>
              <w:rPr>
                <w:sz w:val="24"/>
              </w:rPr>
              <w:t>十、肥胖症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ind w:left="107" w:leftChars="0"/>
              <w:rPr>
                <w:sz w:val="24"/>
              </w:rPr>
            </w:pP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</w:t>
            </w:r>
          </w:p>
          <w:p>
            <w:pPr>
              <w:pStyle w:val="12"/>
              <w:spacing w:before="3"/>
              <w:ind w:left="12" w:leftChars="0"/>
              <w:jc w:val="both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restart"/>
            <w:vAlign w:val="top"/>
          </w:tcPr>
          <w:p>
            <w:pPr>
              <w:pStyle w:val="12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十一、水、电解</w:t>
            </w:r>
          </w:p>
          <w:p>
            <w:pPr>
              <w:pStyle w:val="12"/>
              <w:spacing w:before="8" w:line="460" w:lineRule="atLeast"/>
              <w:ind w:left="9" w:leftChars="0" w:right="30" w:rightChars="0"/>
              <w:rPr>
                <w:sz w:val="21"/>
                <w:szCs w:val="21"/>
              </w:rPr>
            </w:pPr>
            <w:r>
              <w:rPr>
                <w:sz w:val="24"/>
              </w:rPr>
              <w:t>质代谢和酸碱平衡失调*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spacing w:before="6"/>
              <w:rPr>
                <w:sz w:val="24"/>
              </w:rPr>
            </w:pPr>
          </w:p>
          <w:p>
            <w:pPr>
              <w:pStyle w:val="12"/>
              <w:spacing w:line="364" w:lineRule="auto"/>
              <w:ind w:left="11" w:leftChars="0" w:right="-15" w:rightChars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水、钠代谢失常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失水、水过多和</w:t>
            </w:r>
            <w:r>
              <w:rPr>
                <w:sz w:val="24"/>
              </w:rPr>
              <w:t>水中毒、低钠血症、高钠血症）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诊断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13"/>
              </w:tabs>
              <w:spacing w:before="160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2"/>
              <w:spacing w:before="8" w:line="460" w:lineRule="atLeast"/>
              <w:ind w:left="12" w:leftChars="0" w:right="745" w:rightChars="0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掌握掌握</w:t>
            </w:r>
          </w:p>
          <w:p>
            <w:pPr>
              <w:pStyle w:val="12"/>
              <w:spacing w:before="8" w:line="460" w:lineRule="atLeast"/>
              <w:ind w:left="12" w:leftChars="0" w:right="745" w:rightChars="0"/>
              <w:rPr>
                <w:spacing w:val="-9"/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tcBorders/>
            <w:vAlign w:val="top"/>
          </w:tcPr>
          <w:p>
            <w:pPr>
              <w:pStyle w:val="12"/>
              <w:spacing w:before="8" w:line="460" w:lineRule="atLeast"/>
              <w:ind w:left="9" w:leftChars="0" w:right="30" w:rightChars="0"/>
              <w:rPr>
                <w:sz w:val="24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spacing w:before="5"/>
              <w:rPr>
                <w:sz w:val="23"/>
              </w:rPr>
            </w:pPr>
          </w:p>
          <w:p>
            <w:pPr>
              <w:pStyle w:val="12"/>
              <w:ind w:left="11" w:leftChars="0"/>
              <w:rPr>
                <w:sz w:val="24"/>
              </w:rPr>
            </w:pPr>
            <w:r>
              <w:rPr>
                <w:sz w:val="24"/>
              </w:rPr>
              <w:t>2.钾代谢失常（低钾和高钾血症）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spacing w:before="78"/>
              <w:ind w:left="11"/>
              <w:rPr>
                <w:sz w:val="24"/>
              </w:rPr>
            </w:pPr>
            <w:r>
              <w:rPr>
                <w:sz w:val="24"/>
              </w:rPr>
              <w:t>（1）病因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13"/>
              </w:tabs>
              <w:spacing w:before="65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</w:t>
            </w:r>
          </w:p>
          <w:p>
            <w:pPr>
              <w:pStyle w:val="12"/>
              <w:spacing w:before="65"/>
              <w:ind w:left="11" w:leftChars="0"/>
              <w:rPr>
                <w:sz w:val="24"/>
              </w:rPr>
            </w:pPr>
            <w:r>
              <w:rPr>
                <w:sz w:val="24"/>
              </w:rPr>
              <w:t>（4）治疗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2"/>
              <w:spacing w:before="65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2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2"/>
              <w:spacing w:before="65"/>
              <w:ind w:left="12" w:leftChars="0"/>
              <w:rPr>
                <w:spacing w:val="-9"/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Merge w:val="continue"/>
            <w:tcBorders/>
          </w:tcPr>
          <w:p>
            <w:pPr>
              <w:pStyle w:val="12"/>
              <w:spacing w:before="8" w:line="460" w:lineRule="atLeast"/>
              <w:ind w:left="9" w:leftChars="0" w:right="30" w:rightChars="0"/>
              <w:rPr>
                <w:sz w:val="24"/>
              </w:rPr>
            </w:pPr>
          </w:p>
        </w:tc>
        <w:tc>
          <w:tcPr>
            <w:tcW w:w="3831" w:type="dxa"/>
            <w:vAlign w:val="top"/>
          </w:tcPr>
          <w:p>
            <w:pPr>
              <w:pStyle w:val="12"/>
              <w:spacing w:before="3"/>
              <w:rPr>
                <w:sz w:val="24"/>
              </w:rPr>
            </w:pPr>
          </w:p>
          <w:p>
            <w:pPr>
              <w:pStyle w:val="12"/>
              <w:spacing w:before="1" w:line="364" w:lineRule="auto"/>
              <w:ind w:left="11" w:leftChars="0" w:right="-15" w:rightChars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酸碱平衡失调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代谢性酸中毒、代</w:t>
            </w:r>
            <w:r>
              <w:rPr>
                <w:spacing w:val="-7"/>
                <w:sz w:val="24"/>
              </w:rPr>
              <w:t>谢性碱中毒、呼吸性酸中毒、呼吸性</w:t>
            </w:r>
            <w:r>
              <w:rPr>
                <w:sz w:val="24"/>
              </w:rPr>
              <w:t>碱中毒、混合性酸碱平衡障碍）</w:t>
            </w:r>
          </w:p>
        </w:tc>
        <w:tc>
          <w:tcPr>
            <w:tcW w:w="3029" w:type="dxa"/>
            <w:vAlign w:val="top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613"/>
              </w:tabs>
              <w:spacing w:before="78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13"/>
              </w:tabs>
              <w:spacing w:before="161" w:after="0" w:line="240" w:lineRule="auto"/>
              <w:ind w:left="612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防治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 w:line="364" w:lineRule="auto"/>
              <w:ind w:left="12" w:right="7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熟悉掌握掌握</w:t>
            </w:r>
          </w:p>
          <w:p>
            <w:pPr>
              <w:pStyle w:val="12"/>
              <w:spacing w:before="3"/>
              <w:ind w:left="12" w:leftChars="0"/>
              <w:jc w:val="both"/>
              <w:rPr>
                <w:spacing w:val="-9"/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Align w:val="top"/>
          </w:tcPr>
          <w:p>
            <w:pPr>
              <w:pStyle w:val="12"/>
              <w:spacing w:before="5"/>
              <w:rPr>
                <w:sz w:val="23"/>
              </w:rPr>
            </w:pPr>
          </w:p>
          <w:p>
            <w:pPr>
              <w:pStyle w:val="12"/>
              <w:ind w:left="9" w:leftChars="0"/>
              <w:rPr>
                <w:sz w:val="24"/>
              </w:rPr>
            </w:pPr>
            <w:r>
              <w:rPr>
                <w:sz w:val="24"/>
              </w:rPr>
              <w:t>十二、痛风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ind w:left="107" w:leftChars="0"/>
              <w:rPr>
                <w:sz w:val="24"/>
              </w:rPr>
            </w:pPr>
          </w:p>
        </w:tc>
        <w:tc>
          <w:tcPr>
            <w:tcW w:w="3029" w:type="dxa"/>
            <w:vAlign w:val="top"/>
          </w:tcPr>
          <w:p>
            <w:pPr>
              <w:pStyle w:val="12"/>
              <w:spacing w:before="78"/>
              <w:ind w:left="11"/>
              <w:rPr>
                <w:sz w:val="24"/>
              </w:rPr>
            </w:pPr>
            <w:r>
              <w:rPr>
                <w:sz w:val="24"/>
              </w:rPr>
              <w:t>（1）病因和分类</w:t>
            </w:r>
          </w:p>
          <w:p>
            <w:pPr>
              <w:pStyle w:val="12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（2）发病机制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13"/>
              </w:tabs>
              <w:spacing w:before="65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13"/>
              </w:tabs>
              <w:spacing w:before="160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实验室及其它检查</w:t>
            </w:r>
          </w:p>
          <w:p>
            <w:pPr>
              <w:pStyle w:val="12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（5）诊断与鉴别诊断</w:t>
            </w:r>
          </w:p>
          <w:p>
            <w:pPr>
              <w:pStyle w:val="12"/>
              <w:spacing w:before="65"/>
              <w:ind w:left="11" w:leftChars="0"/>
              <w:rPr>
                <w:sz w:val="24"/>
              </w:rPr>
            </w:pPr>
            <w:r>
              <w:rPr>
                <w:sz w:val="24"/>
              </w:rPr>
              <w:t>（6）治疗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2"/>
              <w:spacing w:before="65"/>
              <w:ind w:left="12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2"/>
              <w:spacing w:before="65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2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2"/>
              <w:spacing w:before="65"/>
              <w:ind w:left="1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2"/>
              <w:spacing w:before="65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50" w:type="dxa"/>
            <w:vAlign w:val="top"/>
          </w:tcPr>
          <w:p>
            <w:pPr>
              <w:pStyle w:val="12"/>
              <w:spacing w:before="57"/>
              <w:ind w:left="9"/>
              <w:rPr>
                <w:sz w:val="24"/>
              </w:rPr>
            </w:pPr>
            <w:r>
              <w:rPr>
                <w:sz w:val="24"/>
              </w:rPr>
              <w:t>十三、骨质疏松</w:t>
            </w:r>
          </w:p>
          <w:p>
            <w:pPr>
              <w:pStyle w:val="12"/>
              <w:spacing w:before="161"/>
              <w:ind w:left="9" w:leftChars="0"/>
              <w:rPr>
                <w:sz w:val="24"/>
              </w:rPr>
            </w:pPr>
            <w:r>
              <w:rPr>
                <w:sz w:val="24"/>
              </w:rPr>
              <w:t>症及骨软化症</w:t>
            </w:r>
          </w:p>
        </w:tc>
        <w:tc>
          <w:tcPr>
            <w:tcW w:w="3831" w:type="dxa"/>
            <w:vAlign w:val="top"/>
          </w:tcPr>
          <w:p>
            <w:pPr>
              <w:pStyle w:val="12"/>
              <w:ind w:left="107" w:leftChars="0"/>
              <w:rPr>
                <w:sz w:val="24"/>
              </w:rPr>
            </w:pPr>
          </w:p>
        </w:tc>
        <w:tc>
          <w:tcPr>
            <w:tcW w:w="3029" w:type="dxa"/>
            <w:vAlign w:val="top"/>
          </w:tcPr>
          <w:p>
            <w:pPr>
              <w:pStyle w:val="12"/>
              <w:spacing w:before="79"/>
              <w:ind w:left="11"/>
              <w:rPr>
                <w:sz w:val="24"/>
              </w:rPr>
            </w:pPr>
            <w:r>
              <w:rPr>
                <w:sz w:val="24"/>
              </w:rPr>
              <w:t>（1）病因和发病机制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613"/>
              </w:tabs>
              <w:spacing w:before="57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613"/>
              </w:tabs>
              <w:spacing w:before="161" w:after="0" w:line="240" w:lineRule="auto"/>
              <w:ind w:left="612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2"/>
              <w:spacing w:before="57"/>
              <w:ind w:left="11" w:leftChars="0"/>
              <w:rPr>
                <w:sz w:val="24"/>
              </w:rPr>
            </w:pPr>
            <w:r>
              <w:rPr>
                <w:sz w:val="24"/>
              </w:rPr>
              <w:t>（4）治疗</w:t>
            </w:r>
          </w:p>
        </w:tc>
        <w:tc>
          <w:tcPr>
            <w:tcW w:w="1270" w:type="dxa"/>
            <w:vAlign w:val="top"/>
          </w:tcPr>
          <w:p>
            <w:pPr>
              <w:pStyle w:val="12"/>
              <w:spacing w:before="8"/>
              <w:rPr>
                <w:sz w:val="22"/>
              </w:rPr>
            </w:pPr>
          </w:p>
          <w:p>
            <w:pPr>
              <w:pStyle w:val="12"/>
              <w:ind w:left="12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D12A9"/>
    <w:multiLevelType w:val="multilevel"/>
    <w:tmpl w:val="941D12A9"/>
    <w:lvl w:ilvl="0" w:tentative="0">
      <w:start w:val="3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">
    <w:nsid w:val="A5435042"/>
    <w:multiLevelType w:val="multilevel"/>
    <w:tmpl w:val="A5435042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">
    <w:nsid w:val="B1CC6FF1"/>
    <w:multiLevelType w:val="multilevel"/>
    <w:tmpl w:val="B1CC6FF1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3">
    <w:nsid w:val="B4E02BC3"/>
    <w:multiLevelType w:val="multilevel"/>
    <w:tmpl w:val="B4E02BC3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4">
    <w:nsid w:val="C0283A65"/>
    <w:multiLevelType w:val="multilevel"/>
    <w:tmpl w:val="C0283A65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5">
    <w:nsid w:val="CB94649F"/>
    <w:multiLevelType w:val="multilevel"/>
    <w:tmpl w:val="CB94649F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6">
    <w:nsid w:val="D5F12F34"/>
    <w:multiLevelType w:val="multilevel"/>
    <w:tmpl w:val="D5F12F34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7">
    <w:nsid w:val="F066642F"/>
    <w:multiLevelType w:val="multilevel"/>
    <w:tmpl w:val="F066642F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8">
    <w:nsid w:val="F2A81E1A"/>
    <w:multiLevelType w:val="multilevel"/>
    <w:tmpl w:val="F2A81E1A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9">
    <w:nsid w:val="F30FC083"/>
    <w:multiLevelType w:val="multilevel"/>
    <w:tmpl w:val="F30FC083"/>
    <w:lvl w:ilvl="0" w:tentative="0">
      <w:start w:val="3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0">
    <w:nsid w:val="F9718D3C"/>
    <w:multiLevelType w:val="multilevel"/>
    <w:tmpl w:val="F9718D3C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1">
    <w:nsid w:val="FCC85EE2"/>
    <w:multiLevelType w:val="multilevel"/>
    <w:tmpl w:val="FCC85EE2"/>
    <w:lvl w:ilvl="0" w:tentative="0">
      <w:start w:val="2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2">
    <w:nsid w:val="1483906D"/>
    <w:multiLevelType w:val="multilevel"/>
    <w:tmpl w:val="1483906D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3">
    <w:nsid w:val="1B3FCE26"/>
    <w:multiLevelType w:val="multilevel"/>
    <w:tmpl w:val="1B3FCE26"/>
    <w:lvl w:ilvl="0" w:tentative="0">
      <w:start w:val="3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4">
    <w:nsid w:val="252BF6AB"/>
    <w:multiLevelType w:val="multilevel"/>
    <w:tmpl w:val="252BF6AB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5">
    <w:nsid w:val="269945CE"/>
    <w:multiLevelType w:val="multilevel"/>
    <w:tmpl w:val="269945CE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6">
    <w:nsid w:val="274D3D9B"/>
    <w:multiLevelType w:val="multilevel"/>
    <w:tmpl w:val="274D3D9B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7">
    <w:nsid w:val="329A4FD1"/>
    <w:multiLevelType w:val="multilevel"/>
    <w:tmpl w:val="329A4FD1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8">
    <w:nsid w:val="35ECE9CB"/>
    <w:multiLevelType w:val="multilevel"/>
    <w:tmpl w:val="35ECE9CB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19">
    <w:nsid w:val="3D950AF9"/>
    <w:multiLevelType w:val="multilevel"/>
    <w:tmpl w:val="3D950AF9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0">
    <w:nsid w:val="408860E8"/>
    <w:multiLevelType w:val="multilevel"/>
    <w:tmpl w:val="408860E8"/>
    <w:lvl w:ilvl="0" w:tentative="0">
      <w:start w:val="2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1">
    <w:nsid w:val="4AD1D84F"/>
    <w:multiLevelType w:val="multilevel"/>
    <w:tmpl w:val="4AD1D84F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2">
    <w:nsid w:val="4FA7FC34"/>
    <w:multiLevelType w:val="multilevel"/>
    <w:tmpl w:val="4FA7FC34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3">
    <w:nsid w:val="63B12E74"/>
    <w:multiLevelType w:val="multilevel"/>
    <w:tmpl w:val="63B12E74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4">
    <w:nsid w:val="659EB354"/>
    <w:multiLevelType w:val="multilevel"/>
    <w:tmpl w:val="659EB354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5">
    <w:nsid w:val="6C0BE2D1"/>
    <w:multiLevelType w:val="multilevel"/>
    <w:tmpl w:val="6C0BE2D1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6">
    <w:nsid w:val="70F95E71"/>
    <w:multiLevelType w:val="multilevel"/>
    <w:tmpl w:val="70F95E71"/>
    <w:lvl w:ilvl="0" w:tentative="0">
      <w:start w:val="2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7">
    <w:nsid w:val="744F3566"/>
    <w:multiLevelType w:val="multilevel"/>
    <w:tmpl w:val="744F3566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abstractNum w:abstractNumId="28">
    <w:nsid w:val="7499D7B3"/>
    <w:multiLevelType w:val="multilevel"/>
    <w:tmpl w:val="7499D7B3"/>
    <w:lvl w:ilvl="0" w:tentative="0">
      <w:start w:val="1"/>
      <w:numFmt w:val="decimal"/>
      <w:lvlText w:val="（%1）"/>
      <w:lvlJc w:val="left"/>
      <w:pPr>
        <w:ind w:left="612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7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1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3" w:hanging="60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1"/>
  </w:num>
  <w:num w:numId="5">
    <w:abstractNumId w:val="2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18"/>
  </w:num>
  <w:num w:numId="11">
    <w:abstractNumId w:val="4"/>
  </w:num>
  <w:num w:numId="12">
    <w:abstractNumId w:val="22"/>
  </w:num>
  <w:num w:numId="13">
    <w:abstractNumId w:val="20"/>
  </w:num>
  <w:num w:numId="14">
    <w:abstractNumId w:val="16"/>
  </w:num>
  <w:num w:numId="15">
    <w:abstractNumId w:val="7"/>
  </w:num>
  <w:num w:numId="16">
    <w:abstractNumId w:val="1"/>
  </w:num>
  <w:num w:numId="17">
    <w:abstractNumId w:val="28"/>
  </w:num>
  <w:num w:numId="18">
    <w:abstractNumId w:val="15"/>
  </w:num>
  <w:num w:numId="19">
    <w:abstractNumId w:val="25"/>
  </w:num>
  <w:num w:numId="20">
    <w:abstractNumId w:val="0"/>
  </w:num>
  <w:num w:numId="21">
    <w:abstractNumId w:val="24"/>
  </w:num>
  <w:num w:numId="22">
    <w:abstractNumId w:val="5"/>
  </w:num>
  <w:num w:numId="23">
    <w:abstractNumId w:val="23"/>
  </w:num>
  <w:num w:numId="24">
    <w:abstractNumId w:val="17"/>
  </w:num>
  <w:num w:numId="25">
    <w:abstractNumId w:val="27"/>
  </w:num>
  <w:num w:numId="26">
    <w:abstractNumId w:val="26"/>
  </w:num>
  <w:num w:numId="27">
    <w:abstractNumId w:val="6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1F13698"/>
    <w:rsid w:val="33AB1A5E"/>
    <w:rsid w:val="3ACB4C2F"/>
    <w:rsid w:val="3B8064B4"/>
    <w:rsid w:val="3C7324C0"/>
    <w:rsid w:val="40DE1750"/>
    <w:rsid w:val="41024A57"/>
    <w:rsid w:val="4BBA02F3"/>
    <w:rsid w:val="4DB56E60"/>
    <w:rsid w:val="66D25C14"/>
    <w:rsid w:val="6BA56793"/>
    <w:rsid w:val="71193842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2018-11-23T06:33:55Z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