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364" w:lineRule="auto"/>
        <w:ind w:left="605" w:right="1761" w:firstLine="1711"/>
        <w:jc w:val="left"/>
        <w:rPr>
          <w:b/>
          <w:sz w:val="21"/>
        </w:rPr>
      </w:pPr>
      <w:r>
        <w:rPr>
          <w:rFonts w:ascii="Arial" w:eastAsia="Arial"/>
          <w:b/>
          <w:sz w:val="21"/>
        </w:rPr>
        <w:t xml:space="preserve">2019 </w:t>
      </w:r>
      <w:r>
        <w:rPr>
          <w:b/>
          <w:sz w:val="21"/>
        </w:rPr>
        <w:t>职业病学主治医师专业知识大纲</w:t>
      </w:r>
    </w:p>
    <w:p>
      <w:pPr>
        <w:spacing w:before="62" w:after="9"/>
        <w:ind w:left="565" w:right="0" w:firstLine="0"/>
        <w:jc w:val="left"/>
        <w:rPr>
          <w:sz w:val="21"/>
        </w:rPr>
      </w:pPr>
      <w:r>
        <w:rPr>
          <w:sz w:val="21"/>
        </w:rPr>
        <w:t>标</w:t>
      </w:r>
      <w:r>
        <w:rPr>
          <w:rFonts w:ascii="Arial" w:eastAsia="Arial"/>
          <w:sz w:val="21"/>
        </w:rPr>
        <w:t>*</w:t>
      </w:r>
      <w:r>
        <w:rPr>
          <w:sz w:val="21"/>
        </w:rPr>
        <w:t xml:space="preserve">为 </w:t>
      </w:r>
      <w:r>
        <w:rPr>
          <w:rFonts w:ascii="Arial" w:eastAsia="Arial"/>
          <w:sz w:val="21"/>
        </w:rPr>
        <w:t xml:space="preserve">314 </w:t>
      </w:r>
      <w:r>
        <w:rPr>
          <w:sz w:val="21"/>
        </w:rPr>
        <w:t>内科学专业知识考核内容</w:t>
      </w:r>
    </w:p>
    <w:p>
      <w:pPr>
        <w:jc w:val="center"/>
        <w:rPr>
          <w:b/>
          <w:sz w:val="24"/>
        </w:rPr>
      </w:pPr>
    </w:p>
    <w:tbl>
      <w:tblPr>
        <w:tblStyle w:val="10"/>
        <w:tblW w:w="8329" w:type="dxa"/>
        <w:tblInd w:w="148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335"/>
        <w:gridCol w:w="5167"/>
        <w:gridCol w:w="332"/>
        <w:gridCol w:w="499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96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12"/>
              <w:rPr>
                <w:sz w:val="16"/>
              </w:rPr>
            </w:pPr>
          </w:p>
          <w:p>
            <w:pPr>
              <w:pStyle w:val="14"/>
              <w:ind w:left="431"/>
              <w:rPr>
                <w:sz w:val="21"/>
              </w:rPr>
            </w:pPr>
            <w:r>
              <w:rPr>
                <w:sz w:val="21"/>
              </w:rPr>
              <w:t>单 元</w:t>
            </w:r>
          </w:p>
        </w:tc>
        <w:tc>
          <w:tcPr>
            <w:tcW w:w="1335" w:type="dxa"/>
            <w:tcBorders>
              <w:bottom w:val="single" w:color="9F9F9F" w:sz="12" w:space="0"/>
            </w:tcBorders>
          </w:tcPr>
          <w:p>
            <w:pPr>
              <w:pStyle w:val="14"/>
              <w:spacing w:before="12"/>
              <w:rPr>
                <w:sz w:val="16"/>
              </w:rPr>
            </w:pPr>
          </w:p>
          <w:p>
            <w:pPr>
              <w:pStyle w:val="14"/>
              <w:ind w:left="428"/>
              <w:rPr>
                <w:sz w:val="21"/>
              </w:rPr>
            </w:pPr>
            <w:r>
              <w:rPr>
                <w:sz w:val="21"/>
              </w:rPr>
              <w:t>细 目</w:t>
            </w:r>
          </w:p>
        </w:tc>
        <w:tc>
          <w:tcPr>
            <w:tcW w:w="5167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12"/>
              <w:rPr>
                <w:sz w:val="16"/>
              </w:rPr>
            </w:pPr>
          </w:p>
          <w:p>
            <w:pPr>
              <w:pStyle w:val="14"/>
              <w:ind w:left="426"/>
              <w:rPr>
                <w:sz w:val="21"/>
              </w:rPr>
            </w:pPr>
            <w:r>
              <w:rPr>
                <w:sz w:val="21"/>
              </w:rPr>
              <w:t>要 点</w:t>
            </w:r>
          </w:p>
        </w:tc>
        <w:tc>
          <w:tcPr>
            <w:tcW w:w="332" w:type="dxa"/>
            <w:tcBorders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spacing w:before="9"/>
              <w:rPr>
                <w:sz w:val="29"/>
              </w:rPr>
            </w:pPr>
          </w:p>
          <w:p>
            <w:pPr>
              <w:pStyle w:val="14"/>
              <w:spacing w:line="252" w:lineRule="exact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求</w:t>
            </w:r>
          </w:p>
        </w:tc>
        <w:tc>
          <w:tcPr>
            <w:tcW w:w="499" w:type="dxa"/>
            <w:tcBorders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2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要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96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9"/>
              <w:rPr>
                <w:sz w:val="29"/>
              </w:rPr>
            </w:pPr>
          </w:p>
          <w:p>
            <w:pPr>
              <w:pStyle w:val="14"/>
              <w:spacing w:line="295" w:lineRule="auto"/>
              <w:ind w:left="6" w:right="-29" w:firstLine="424"/>
              <w:rPr>
                <w:sz w:val="21"/>
              </w:rPr>
            </w:pPr>
            <w:r>
              <w:rPr>
                <w:spacing w:val="-33"/>
                <w:sz w:val="21"/>
              </w:rPr>
              <w:t>一、职</w:t>
            </w:r>
            <w:r>
              <w:rPr>
                <w:spacing w:val="-1"/>
                <w:sz w:val="21"/>
              </w:rPr>
              <w:t>业病及职业医学</w:t>
            </w: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2" w:line="332" w:lineRule="exact"/>
              <w:ind w:left="3" w:right="52" w:firstLine="42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职业性有害因素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26"/>
              <w:rPr>
                <w:sz w:val="21"/>
              </w:rPr>
            </w:pPr>
            <w:r>
              <w:rPr>
                <w:sz w:val="21"/>
              </w:rPr>
              <w:t>职业性有害因素种类</w:t>
            </w:r>
          </w:p>
        </w:tc>
        <w:tc>
          <w:tcPr>
            <w:tcW w:w="3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3" w:line="252" w:lineRule="exact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握</w:t>
            </w:r>
          </w:p>
        </w:tc>
        <w:tc>
          <w:tcPr>
            <w:tcW w:w="499" w:type="dxa"/>
            <w:tcBorders>
              <w:top w:val="single" w:color="9F9F9F" w:sz="12" w:space="0"/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96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left="428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职业病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3"/>
              <w:ind w:left="4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）定义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法定职业病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3"/>
              </w:tabs>
              <w:spacing w:before="62" w:after="0" w:line="252" w:lineRule="exact"/>
              <w:ind w:left="542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我国</w:t>
            </w:r>
            <w:r>
              <w:rPr>
                <w:rFonts w:ascii="Arial" w:hAnsi="Arial" w:eastAsia="Arial"/>
                <w:spacing w:val="-4"/>
                <w:sz w:val="21"/>
              </w:rPr>
              <w:t>“</w:t>
            </w:r>
            <w:r>
              <w:rPr>
                <w:spacing w:val="-3"/>
                <w:sz w:val="21"/>
              </w:rPr>
              <w:t>职业病防治法</w:t>
            </w:r>
            <w:r>
              <w:rPr>
                <w:rFonts w:ascii="Arial" w:hAnsi="Arial" w:eastAsia="Arial"/>
                <w:spacing w:val="-4"/>
                <w:sz w:val="21"/>
              </w:rPr>
              <w:t>”</w:t>
            </w:r>
            <w:r>
              <w:rPr>
                <w:spacing w:val="-3"/>
                <w:sz w:val="21"/>
              </w:rPr>
              <w:t>规定的职业病种类</w:t>
            </w:r>
          </w:p>
        </w:tc>
        <w:tc>
          <w:tcPr>
            <w:tcW w:w="3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9"/>
              <w:rPr>
                <w:sz w:val="22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握</w:t>
            </w:r>
          </w:p>
        </w:tc>
        <w:tc>
          <w:tcPr>
            <w:tcW w:w="499" w:type="dxa"/>
            <w:tcBorders>
              <w:top w:val="single" w:color="9F9F9F" w:sz="12" w:space="0"/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1"/>
              <w:rPr>
                <w:sz w:val="17"/>
              </w:rPr>
            </w:pPr>
          </w:p>
          <w:p>
            <w:pPr>
              <w:pStyle w:val="14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96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4" w:line="330" w:lineRule="exact"/>
              <w:ind w:left="3" w:right="52" w:firstLine="42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工作有关疾病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"/>
              <w:rPr>
                <w:sz w:val="17"/>
              </w:rPr>
            </w:pPr>
          </w:p>
          <w:p>
            <w:pPr>
              <w:pStyle w:val="14"/>
              <w:ind w:left="426"/>
              <w:rPr>
                <w:sz w:val="21"/>
              </w:rPr>
            </w:pPr>
            <w:r>
              <w:rPr>
                <w:sz w:val="21"/>
              </w:rPr>
              <w:t>概念</w:t>
            </w:r>
          </w:p>
        </w:tc>
        <w:tc>
          <w:tcPr>
            <w:tcW w:w="3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1" w:line="252" w:lineRule="exact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悉</w:t>
            </w:r>
          </w:p>
        </w:tc>
        <w:tc>
          <w:tcPr>
            <w:tcW w:w="499" w:type="dxa"/>
            <w:tcBorders>
              <w:top w:val="single" w:color="9F9F9F" w:sz="12" w:space="0"/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熟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996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7"/>
              <w:rPr>
                <w:sz w:val="28"/>
              </w:rPr>
            </w:pPr>
          </w:p>
          <w:p>
            <w:pPr>
              <w:pStyle w:val="14"/>
              <w:spacing w:before="1" w:line="295" w:lineRule="auto"/>
              <w:ind w:left="3" w:right="21" w:firstLine="42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职业医学的基本任务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3"/>
              <w:ind w:left="4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）职业健康筛检与健康监护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职业流行病学调查与研究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职业性病伤的诊断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职业性病伤的治疗与康复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劳动能力鉴定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职业病的法规管理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3"/>
              </w:tabs>
              <w:spacing w:before="60" w:after="0" w:line="252" w:lineRule="exact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职业性病伤的预防</w:t>
            </w:r>
          </w:p>
        </w:tc>
        <w:tc>
          <w:tcPr>
            <w:tcW w:w="3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6"/>
              <w:rPr>
                <w:sz w:val="14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握</w:t>
            </w:r>
          </w:p>
        </w:tc>
        <w:tc>
          <w:tcPr>
            <w:tcW w:w="499" w:type="dxa"/>
            <w:tcBorders>
              <w:top w:val="single" w:color="9F9F9F" w:sz="12" w:space="0"/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7"/>
              <w:rPr>
                <w:sz w:val="28"/>
              </w:rPr>
            </w:pPr>
          </w:p>
          <w:p>
            <w:pPr>
              <w:pStyle w:val="14"/>
              <w:spacing w:before="1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996" w:type="dxa"/>
            <w:vMerge w:val="restart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7"/>
              <w:rPr>
                <w:sz w:val="16"/>
              </w:rPr>
            </w:pPr>
          </w:p>
          <w:p>
            <w:pPr>
              <w:pStyle w:val="14"/>
              <w:spacing w:before="1" w:line="295" w:lineRule="auto"/>
              <w:ind w:left="6" w:right="-29" w:firstLine="424"/>
              <w:rPr>
                <w:sz w:val="21"/>
              </w:rPr>
            </w:pPr>
            <w:r>
              <w:rPr>
                <w:spacing w:val="-33"/>
                <w:sz w:val="21"/>
              </w:rPr>
              <w:t>二、职</w:t>
            </w:r>
            <w:r>
              <w:rPr>
                <w:spacing w:val="-1"/>
                <w:sz w:val="21"/>
              </w:rPr>
              <w:t>业因素引</w:t>
            </w:r>
            <w:r>
              <w:rPr>
                <w:spacing w:val="-2"/>
                <w:sz w:val="21"/>
              </w:rPr>
              <w:t>起的器官</w:t>
            </w:r>
            <w:r>
              <w:rPr>
                <w:spacing w:val="-3"/>
                <w:sz w:val="21"/>
              </w:rPr>
              <w:t>或系统损害</w:t>
            </w: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rPr>
                <w:sz w:val="30"/>
              </w:rPr>
            </w:pPr>
          </w:p>
          <w:p>
            <w:pPr>
              <w:pStyle w:val="14"/>
              <w:ind w:left="428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中毒性</w:t>
            </w:r>
          </w:p>
          <w:p>
            <w:pPr>
              <w:pStyle w:val="14"/>
              <w:spacing w:before="60"/>
              <w:ind w:left="3"/>
              <w:rPr>
                <w:sz w:val="21"/>
              </w:rPr>
            </w:pPr>
            <w:r>
              <w:rPr>
                <w:sz w:val="21"/>
              </w:rPr>
              <w:t>脑病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/>
              <w:ind w:left="408" w:right="372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临床特征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3"/>
              </w:tabs>
              <w:spacing w:before="62" w:after="0" w:line="244" w:lineRule="exact"/>
              <w:ind w:left="542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3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rPr>
                <w:sz w:val="16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握</w:t>
            </w:r>
          </w:p>
        </w:tc>
        <w:tc>
          <w:tcPr>
            <w:tcW w:w="499" w:type="dxa"/>
            <w:tcBorders>
              <w:top w:val="single" w:color="9F9F9F" w:sz="12" w:space="0"/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33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96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7"/>
              <w:rPr>
                <w:sz w:val="29"/>
              </w:rPr>
            </w:pPr>
          </w:p>
          <w:p>
            <w:pPr>
              <w:pStyle w:val="14"/>
              <w:spacing w:before="1" w:line="295" w:lineRule="auto"/>
              <w:ind w:left="3" w:right="52" w:firstLine="42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中毒性周围神经病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0"/>
              <w:ind w:left="408" w:right="372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临床特征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3"/>
              </w:tabs>
              <w:spacing w:before="60" w:after="0" w:line="244" w:lineRule="exact"/>
              <w:ind w:left="542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3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6"/>
              <w:rPr>
                <w:sz w:val="15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握</w:t>
            </w:r>
          </w:p>
        </w:tc>
        <w:tc>
          <w:tcPr>
            <w:tcW w:w="499" w:type="dxa"/>
            <w:tcBorders>
              <w:top w:val="single" w:color="9F9F9F" w:sz="12" w:space="0"/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"/>
              <w:rPr>
                <w:sz w:val="29"/>
              </w:rPr>
            </w:pPr>
          </w:p>
          <w:p>
            <w:pPr>
              <w:pStyle w:val="14"/>
              <w:spacing w:before="1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96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spacing w:line="295" w:lineRule="auto"/>
              <w:ind w:left="3" w:right="52" w:firstLine="42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中毒性肺水肿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0"/>
              <w:ind w:left="4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543"/>
              </w:tabs>
              <w:spacing w:before="63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临床特点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543"/>
              </w:tabs>
              <w:spacing w:before="59" w:after="0" w:line="244" w:lineRule="exact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处理原则</w:t>
            </w:r>
          </w:p>
        </w:tc>
        <w:tc>
          <w:tcPr>
            <w:tcW w:w="3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9"/>
              <w:rPr>
                <w:sz w:val="22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握</w:t>
            </w:r>
          </w:p>
        </w:tc>
        <w:tc>
          <w:tcPr>
            <w:tcW w:w="499" w:type="dxa"/>
            <w:tcBorders>
              <w:top w:val="single" w:color="9F9F9F" w:sz="12" w:space="0"/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96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spacing w:line="292" w:lineRule="auto"/>
              <w:ind w:left="3" w:right="52" w:firstLine="42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纤维化性肺病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0"/>
              <w:ind w:left="408" w:right="372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3"/>
              </w:tabs>
              <w:spacing w:before="63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临床特征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3"/>
              </w:tabs>
              <w:spacing w:before="62" w:after="0" w:line="244" w:lineRule="exact"/>
              <w:ind w:left="542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3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nil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6"/>
              <w:rPr>
                <w:sz w:val="15"/>
              </w:rPr>
            </w:pPr>
          </w:p>
          <w:p>
            <w:pPr>
              <w:pStyle w:val="14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握</w:t>
            </w:r>
          </w:p>
        </w:tc>
        <w:tc>
          <w:tcPr>
            <w:tcW w:w="499" w:type="dxa"/>
            <w:tcBorders>
              <w:top w:val="single" w:color="9F9F9F" w:sz="12" w:space="0"/>
              <w:left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10"/>
              <w:rPr>
                <w:sz w:val="29"/>
              </w:rPr>
            </w:pPr>
          </w:p>
          <w:p>
            <w:pPr>
              <w:pStyle w:val="14"/>
              <w:ind w:righ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96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6"/>
              <w:rPr>
                <w:sz w:val="18"/>
              </w:rPr>
            </w:pPr>
          </w:p>
          <w:p>
            <w:pPr>
              <w:pStyle w:val="14"/>
              <w:spacing w:before="1"/>
              <w:ind w:left="428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中毒性</w:t>
            </w:r>
          </w:p>
          <w:p>
            <w:pPr>
              <w:pStyle w:val="14"/>
              <w:spacing w:before="62"/>
              <w:ind w:left="3"/>
              <w:rPr>
                <w:sz w:val="21"/>
              </w:rPr>
            </w:pPr>
            <w:r>
              <w:rPr>
                <w:sz w:val="21"/>
              </w:rPr>
              <w:t>肝病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0"/>
              <w:ind w:left="408" w:right="372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3"/>
              </w:tabs>
              <w:spacing w:before="62" w:after="0" w:line="244" w:lineRule="exact"/>
              <w:ind w:left="542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1" w:type="dxa"/>
            <w:gridSpan w:val="2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ind w:right="34"/>
              <w:jc w:val="center"/>
              <w:rPr>
                <w:sz w:val="21"/>
              </w:rPr>
            </w:pPr>
            <w:r>
              <w:rPr>
                <w:rFonts w:hint="eastAsia" w:eastAsia="宋体"/>
                <w:w w:val="100"/>
                <w:sz w:val="21"/>
                <w:lang w:eastAsia="zh-CN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6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0" w:line="243" w:lineRule="exact"/>
              <w:ind w:left="428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职业性造血系统疾病</w:t>
            </w:r>
          </w:p>
        </w:tc>
        <w:tc>
          <w:tcPr>
            <w:tcW w:w="516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0" w:line="243" w:lineRule="exact"/>
              <w:ind w:left="4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3"/>
              </w:tabs>
              <w:spacing w:before="5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3"/>
              </w:tabs>
              <w:spacing w:before="59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处理原则</w:t>
            </w:r>
          </w:p>
        </w:tc>
        <w:tc>
          <w:tcPr>
            <w:tcW w:w="831" w:type="dxa"/>
            <w:gridSpan w:val="2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0" w:line="243" w:lineRule="exact"/>
              <w:ind w:left="434"/>
              <w:rPr>
                <w:sz w:val="21"/>
              </w:rPr>
            </w:pPr>
            <w:r>
              <w:rPr>
                <w:w w:val="100"/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6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color="9F9F9F" w:sz="12" w:space="0"/>
            </w:tcBorders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66"/>
              <w:ind w:left="428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中毒性</w:t>
            </w:r>
          </w:p>
          <w:p>
            <w:pPr>
              <w:pStyle w:val="14"/>
              <w:spacing w:before="60"/>
              <w:ind w:left="3" w:leftChars="0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肾病</w:t>
            </w:r>
          </w:p>
        </w:tc>
        <w:tc>
          <w:tcPr>
            <w:tcW w:w="5167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58"/>
              <w:ind w:left="408" w:right="372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3"/>
              </w:tabs>
              <w:spacing w:before="60" w:after="0" w:line="252" w:lineRule="exact"/>
              <w:ind w:left="542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处理原则</w:t>
            </w:r>
          </w:p>
        </w:tc>
        <w:tc>
          <w:tcPr>
            <w:tcW w:w="831" w:type="dxa"/>
            <w:gridSpan w:val="2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ind w:left="107" w:leftChars="0" w:right="35" w:rightChars="0"/>
              <w:jc w:val="center"/>
              <w:rPr>
                <w:w w:val="100"/>
                <w:sz w:val="21"/>
              </w:rPr>
            </w:pPr>
            <w:r>
              <w:rPr>
                <w:rFonts w:hint="eastAsia" w:eastAsia="宋体"/>
                <w:w w:val="100"/>
                <w:sz w:val="21"/>
                <w:lang w:eastAsia="zh-CN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6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59" w:line="292" w:lineRule="auto"/>
              <w:ind w:left="3" w:leftChars="0" w:right="53" w:rightChars="0" w:firstLine="424" w:firstLine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职业性皮肤损害</w:t>
            </w:r>
          </w:p>
        </w:tc>
        <w:tc>
          <w:tcPr>
            <w:tcW w:w="5167" w:type="dxa"/>
            <w:vAlign w:val="top"/>
          </w:tcPr>
          <w:p>
            <w:pPr>
              <w:pStyle w:val="14"/>
              <w:spacing w:before="58"/>
              <w:ind w:left="408" w:right="372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临床特征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3"/>
              </w:tabs>
              <w:spacing w:before="62" w:after="0" w:line="252" w:lineRule="exact"/>
              <w:ind w:left="542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1" w:type="dxa"/>
            <w:gridSpan w:val="2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5"/>
              <w:rPr>
                <w:rFonts w:ascii="Times New Roman"/>
                <w:sz w:val="22"/>
              </w:rPr>
            </w:pPr>
            <w:r>
              <w:rPr>
                <w:rFonts w:hint="eastAsia" w:eastAsia="宋体"/>
                <w:w w:val="100"/>
                <w:sz w:val="21"/>
                <w:lang w:eastAsia="zh-CN"/>
              </w:rPr>
              <w:t>掌握</w:t>
            </w:r>
          </w:p>
          <w:p>
            <w:pPr>
              <w:pStyle w:val="14"/>
              <w:spacing w:before="159"/>
              <w:ind w:left="107" w:leftChars="0" w:right="35" w:rightChars="0"/>
              <w:jc w:val="center"/>
              <w:rPr>
                <w:w w:val="100"/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6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57" w:line="295" w:lineRule="auto"/>
              <w:ind w:left="3" w:leftChars="0" w:right="53" w:rightChars="0" w:firstLine="424" w:firstLine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9.</w:t>
            </w:r>
            <w:r>
              <w:rPr>
                <w:sz w:val="21"/>
              </w:rPr>
              <w:t>职业性眼部损害</w:t>
            </w:r>
          </w:p>
        </w:tc>
        <w:tc>
          <w:tcPr>
            <w:tcW w:w="5167" w:type="dxa"/>
            <w:vAlign w:val="top"/>
          </w:tcPr>
          <w:p>
            <w:pPr>
              <w:pStyle w:val="14"/>
              <w:spacing w:before="58"/>
              <w:ind w:left="408" w:right="372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临床特征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3"/>
              </w:tabs>
              <w:spacing w:before="60" w:after="0" w:line="252" w:lineRule="exact"/>
              <w:ind w:left="542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1" w:type="dxa"/>
            <w:gridSpan w:val="2"/>
            <w:vAlign w:val="top"/>
          </w:tcPr>
          <w:p>
            <w:pPr>
              <w:pStyle w:val="14"/>
              <w:spacing w:before="157"/>
              <w:ind w:left="0" w:leftChars="0" w:right="35" w:rightChars="0" w:firstLine="0" w:firstLineChars="0"/>
              <w:jc w:val="both"/>
              <w:rPr>
                <w:rFonts w:hint="eastAsia" w:eastAsia="宋体"/>
                <w:w w:val="100"/>
                <w:sz w:val="21"/>
                <w:lang w:eastAsia="zh-CN"/>
              </w:rPr>
            </w:pPr>
            <w:r>
              <w:rPr>
                <w:rFonts w:hint="eastAsia" w:eastAsia="宋体"/>
                <w:w w:val="100"/>
                <w:sz w:val="21"/>
                <w:lang w:eastAsia="zh-CN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6" w:type="dxa"/>
            <w:vMerge w:val="restart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14"/>
              <w:spacing w:before="1" w:line="295" w:lineRule="auto"/>
              <w:ind w:left="10" w:leftChars="0" w:right="-29" w:rightChars="0" w:firstLine="424" w:firstLineChars="0"/>
              <w:rPr>
                <w:sz w:val="2"/>
                <w:szCs w:val="2"/>
              </w:rPr>
            </w:pPr>
            <w:r>
              <w:rPr>
                <w:spacing w:val="-33"/>
                <w:sz w:val="21"/>
              </w:rPr>
              <w:t>三、职</w:t>
            </w:r>
            <w:r>
              <w:rPr>
                <w:spacing w:val="-1"/>
                <w:sz w:val="21"/>
              </w:rPr>
              <w:t>业病的诊</w:t>
            </w:r>
            <w:r>
              <w:rPr>
                <w:spacing w:val="-2"/>
                <w:sz w:val="21"/>
              </w:rPr>
              <w:t>断与处理</w:t>
            </w:r>
          </w:p>
        </w:tc>
        <w:tc>
          <w:tcPr>
            <w:tcW w:w="1335" w:type="dxa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14"/>
              <w:spacing w:line="292" w:lineRule="auto"/>
              <w:ind w:left="3" w:leftChars="0" w:right="53" w:rightChars="0" w:firstLine="424" w:firstLine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职业病的诊断原则</w:t>
            </w:r>
          </w:p>
        </w:tc>
        <w:tc>
          <w:tcPr>
            <w:tcW w:w="5167" w:type="dxa"/>
            <w:vAlign w:val="top"/>
          </w:tcPr>
          <w:p>
            <w:pPr>
              <w:pStyle w:val="14"/>
              <w:spacing w:before="58"/>
              <w:ind w:left="4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）职业史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现场劳动卫生学调查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3"/>
              </w:tabs>
              <w:spacing w:before="60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病史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3"/>
              </w:tabs>
              <w:spacing w:before="60" w:after="0" w:line="244" w:lineRule="exact"/>
              <w:ind w:left="542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职业危害因素对机体作用的特殊效应指标</w:t>
            </w:r>
          </w:p>
        </w:tc>
        <w:tc>
          <w:tcPr>
            <w:tcW w:w="831" w:type="dxa"/>
            <w:gridSpan w:val="2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  <w:r>
              <w:rPr>
                <w:rFonts w:hint="eastAsia" w:eastAsia="宋体"/>
                <w:w w:val="100"/>
                <w:sz w:val="21"/>
                <w:lang w:eastAsia="zh-CN"/>
              </w:rPr>
              <w:t>掌握</w:t>
            </w: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4"/>
              <w:ind w:left="107" w:leftChars="0" w:right="35" w:rightChars="0"/>
              <w:jc w:val="center"/>
              <w:rPr>
                <w:w w:val="100"/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14"/>
              <w:spacing w:line="292" w:lineRule="auto"/>
              <w:ind w:left="3" w:leftChars="0" w:right="53" w:rightChars="0" w:firstLine="424" w:firstLine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职业病的处理原则</w:t>
            </w:r>
          </w:p>
        </w:tc>
        <w:tc>
          <w:tcPr>
            <w:tcW w:w="5167" w:type="dxa"/>
            <w:vAlign w:val="top"/>
          </w:tcPr>
          <w:p>
            <w:pPr>
              <w:pStyle w:val="14"/>
              <w:spacing w:before="50"/>
              <w:ind w:left="4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）防止职业危害因素继续侵入人体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3"/>
              </w:tabs>
              <w:spacing w:before="63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促使已吸收的危害因素排出体外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3"/>
              </w:tabs>
              <w:spacing w:before="59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消灭病因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3"/>
              </w:tabs>
              <w:spacing w:before="62" w:after="0" w:line="240" w:lineRule="auto"/>
              <w:ind w:left="54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特效拮抗治疗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3"/>
              </w:tabs>
              <w:spacing w:before="60" w:after="0" w:line="243" w:lineRule="exact"/>
              <w:ind w:left="542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对症与支持疗法</w:t>
            </w:r>
          </w:p>
        </w:tc>
        <w:tc>
          <w:tcPr>
            <w:tcW w:w="831" w:type="dxa"/>
            <w:gridSpan w:val="2"/>
            <w:vAlign w:val="top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  <w:r>
              <w:rPr>
                <w:rFonts w:hint="eastAsia" w:eastAsia="宋体"/>
                <w:w w:val="100"/>
                <w:sz w:val="21"/>
                <w:lang w:eastAsia="zh-CN"/>
              </w:rPr>
              <w:t>掌握</w:t>
            </w: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ind w:left="107" w:leftChars="0" w:right="35" w:rightChars="0"/>
              <w:jc w:val="center"/>
              <w:rPr>
                <w:w w:val="100"/>
                <w:sz w:val="21"/>
              </w:rPr>
            </w:pPr>
          </w:p>
        </w:tc>
      </w:tr>
    </w:tbl>
    <w:p>
      <w:pPr>
        <w:spacing w:before="10" w:after="1" w:line="240" w:lineRule="auto"/>
        <w:rPr>
          <w:b/>
          <w:sz w:val="22"/>
        </w:rPr>
      </w:pPr>
      <w:r>
        <w:drawing>
          <wp:inline distT="0" distB="0" distL="114300" distR="114300">
            <wp:extent cx="5271135" cy="1888490"/>
            <wp:effectExtent l="0" t="0" r="5715" b="1651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34"/>
        <w:gridCol w:w="5168"/>
        <w:gridCol w:w="8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五、职业中毒</w:t>
            </w: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1.毒物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（1）定义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（2）主要物理形态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（3）分类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（4）侵入机体途径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（5）接触机会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（6）主要毒作用类型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（7）常用非特异性解毒药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种类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用度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2.铅及其化合物中毒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急性中毒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慢性中毒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驱铅治疗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对症治疗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3.汞及其化合物中毒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急性中毒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慢性中毒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急性中毒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慢性中毒（诊断及分级标准）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驱汞治疗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对症治疗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4.镉及其化合物中毒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急性中毒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慢性中毒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5.铊及其化合物中毒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急性中毒（诊断及分级标准）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慢性中毒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6.锡及其化合物中毒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（7）诊断及分级标准（急性三烷基锡中毒）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7.钡及其化合物中毒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8.锰及其化合物中毒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9.铬及其化合物中毒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10.铍及其化合物中毒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11.羰基镍中毒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12.砷及其化合物中毒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13.砷化氢中毒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14.磷及其化合物中毒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15.氟及其化合物中毒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16.急性刺激性气体中毒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（1）种类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17.急性窒息性气体中毒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常见种类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18.硫化氢中毒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19.急性一氧化碳中毒*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20.急性氰化物中毒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21.急性汽油中毒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22.苯中毒*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23.甲苯、二甲苯中毒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24.正己烷中毒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25.急性三氯乙烯中毒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26.急性四氯化碳中毒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27.急性二氯乙烷中毒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28.氯丁二烯中毒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29.氯乙烯中毒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　30.氯丙烯中毒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</w:p>
        </w:tc>
        <w:tc>
          <w:tcPr>
            <w:tcW w:w="8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　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31.二甲基甲酰胺中毒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32.急性一甲胺中毒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33.甲醇中毒*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34.乙二醇中毒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35.急性甲醛中毒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（2）接触职业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36.苯胺中毒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37.三硝基甲苯中毒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38.苯酚中毒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39.五氯酚中毒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40.氯甲醚中毒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41.环氧乙烷中毒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42.丙烯酰胺中毒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43.硫酸二甲酯中毒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44.农药中毒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（1）分类：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根据用度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根据化学结构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ascii="Arial" w:hAnsi="Arial" w:cs="Arial"/>
                <w:kern w:val="0"/>
                <w:szCs w:val="21"/>
              </w:rPr>
              <w:t>根据毒性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④</w:t>
            </w:r>
            <w:r>
              <w:rPr>
                <w:rFonts w:ascii="Arial" w:hAnsi="Arial" w:cs="Arial"/>
                <w:kern w:val="0"/>
                <w:szCs w:val="21"/>
              </w:rPr>
              <w:t>根据剂型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（2）急性毒性分级：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1992年世界卫生组织推荐标准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1990年我国建议标准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45.急性有机磷杀虫剂中毒*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（1）主要接触职业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（2）理化性质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急性中毒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中间期肌无力综合征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ascii="Arial" w:hAnsi="Arial" w:cs="Arial"/>
                <w:kern w:val="0"/>
                <w:szCs w:val="21"/>
              </w:rPr>
              <w:t>迟发性多发性神经病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④</w:t>
            </w:r>
            <w:r>
              <w:rPr>
                <w:rFonts w:ascii="Arial" w:hAnsi="Arial" w:cs="Arial"/>
                <w:kern w:val="0"/>
                <w:szCs w:val="21"/>
              </w:rPr>
              <w:t>慢性影响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急性中毒（ChE复能剂、抗胆碱药）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中间期肌无力综合征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ascii="Arial" w:hAnsi="Arial" w:cs="Arial"/>
                <w:kern w:val="0"/>
                <w:szCs w:val="21"/>
              </w:rPr>
              <w:t>迟发性多发性神经病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46.急性氨基甲酸酯杀虫剂中毒*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（1）主要接触职业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（2）理化性质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47.杀鼠剂中毒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（1）主要种类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抗凝血杀鼠剂：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a.茚满二酮类：敌鼠、氯鼠酮、杀鼠酮等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b.羟基香豆素类：杀鼠灵、杀鼠醚、溴鼠灵等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痉挛剂：氟乙酰胺、氟乙酸、毒鼠强等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ascii="Arial" w:hAnsi="Arial" w:cs="Arial"/>
                <w:kern w:val="0"/>
                <w:szCs w:val="21"/>
              </w:rPr>
              <w:t>取代脲类：安妥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48.急性拟除虫菊酯类杀虫剂中毒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（1）主要接触职业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（2）理化性质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49.杀虫脒中毒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（1）主要接触职业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（2）理化性质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50.有机氯杀虫剂中毒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（1）主要接触职业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（2）理化性质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（3）吸收、代谢及排泄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（8）鉴别诊断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（9）治疗要点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51.亚硝酸盐中毒*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（4）诊断及鉴别诊断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52.酒精中毒*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（3）实验室检查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（4）诊断及鉴别诊断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（5）治疗要点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六、生产性粉尘所致职业病</w:t>
            </w: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1.生产性粉尘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（1）定义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（2）来源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（3）分类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2.生产性粉尘的致病作用及影响因素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（1）致病作用：刺激作用、非特异性炎症反应、致纤维化作用、致癌作用、致敏作用、中毒作用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（2）影响因素：化学性质、分散度、浓度、荷电性、个体性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3.尘肺病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（1）定义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（2）种类（我国法定尘肺）：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矽肺、煤工尘肺、石棉肺、铸工尘肺、陶工尘肺、电焊工尘肺、碳黑尘肺、铝尘肺、滑石尘肺、云母尘肺、水泥尘肺、石墨尘肺、根据《尘肺病诊断标准》和《尘肺病理诊断标准》可以诊断的其他尘肺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（4）尘肺病的X线表现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4.矽肺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（1）接触机会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（2）病理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（4）诊断与鉴别诊断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5.石棉肺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（1）石棉尘的特性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（2）接触机会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（3）病理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（5）诊断与鉴别诊断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熟悉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掌握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掌握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6.有机粉尘职业危害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（1）定义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（2）有机粉尘来源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（3）有机粉尘中的生物活性物质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（4）对机体健康的影响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ascii="Arial" w:hAnsi="Arial" w:cs="Arial"/>
                <w:kern w:val="0"/>
                <w:szCs w:val="21"/>
              </w:rPr>
              <w:t>有机粉尘综合征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ascii="Arial" w:hAnsi="Arial" w:cs="Arial"/>
                <w:kern w:val="0"/>
                <w:szCs w:val="21"/>
              </w:rPr>
              <w:t>呼吸道炎症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ascii="Arial" w:hAnsi="Arial" w:cs="Arial"/>
                <w:kern w:val="0"/>
                <w:szCs w:val="21"/>
              </w:rPr>
              <w:t>过敏性肺炎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七、物理因素所致职业病</w:t>
            </w: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1.常见有害物理因素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（1）种类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（2）主要职业接触机会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2.手臂振动病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（3）治疗原则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3.中暑*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（1）主要临床类型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（3）防治措施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4.高原病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（1）主要分型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（3）防治措施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5.减压病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（2）防治要点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6.放射病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（1）主要病因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（2）诊断原则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7.职业性听力损伤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（1）临床特点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（2）听力损伤分级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（3）防护办法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</w:tbl>
    <w:p>
      <w:r>
        <w:drawing>
          <wp:inline distT="0" distB="0" distL="114300" distR="114300">
            <wp:extent cx="5273040" cy="2339975"/>
            <wp:effectExtent l="0" t="0" r="3810" b="317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34"/>
        <w:gridCol w:w="5168"/>
        <w:gridCol w:w="8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九、其他职业病</w:t>
            </w: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1.煤矿井下工人滑囊炎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（1）概述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（2）流行病学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（6）治疗原则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2.职业性哮喘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（1）概述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（2）流行病学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（3）职业接触及病因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（6）诊断及分级标准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（7）治疗原则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3.金属烟热</w:t>
            </w: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（1）理化性质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（2）职业接触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（3）发病机制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（4）临床表现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（5）诊断及分级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（6）鉴别诊断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>（7）治疗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掌握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1">
    <w:nsid w:val="8461FADE"/>
    <w:multiLevelType w:val="multilevel"/>
    <w:tmpl w:val="8461FADE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2">
    <w:nsid w:val="91995D4F"/>
    <w:multiLevelType w:val="multilevel"/>
    <w:tmpl w:val="91995D4F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3">
    <w:nsid w:val="B8CEF35B"/>
    <w:multiLevelType w:val="multilevel"/>
    <w:tmpl w:val="B8CEF35B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4">
    <w:nsid w:val="BB64CFA9"/>
    <w:multiLevelType w:val="multilevel"/>
    <w:tmpl w:val="BB64CFA9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5">
    <w:nsid w:val="E093A4B0"/>
    <w:multiLevelType w:val="multilevel"/>
    <w:tmpl w:val="E093A4B0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6">
    <w:nsid w:val="F7735DC9"/>
    <w:multiLevelType w:val="multilevel"/>
    <w:tmpl w:val="F7735DC9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7">
    <w:nsid w:val="243FCF68"/>
    <w:multiLevelType w:val="multilevel"/>
    <w:tmpl w:val="243FCF68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8">
    <w:nsid w:val="30FC5B15"/>
    <w:multiLevelType w:val="multilevel"/>
    <w:tmpl w:val="30FC5B15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9">
    <w:nsid w:val="4D94DA66"/>
    <w:multiLevelType w:val="multilevel"/>
    <w:tmpl w:val="4D94DA66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10">
    <w:nsid w:val="58765686"/>
    <w:multiLevelType w:val="multilevel"/>
    <w:tmpl w:val="58765686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11">
    <w:nsid w:val="79AA4FA4"/>
    <w:multiLevelType w:val="multilevel"/>
    <w:tmpl w:val="79AA4FA4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abstractNum w:abstractNumId="12">
    <w:nsid w:val="7DEC2089"/>
    <w:multiLevelType w:val="multilevel"/>
    <w:tmpl w:val="7DEC2089"/>
    <w:lvl w:ilvl="0" w:tentative="0">
      <w:start w:val="2"/>
      <w:numFmt w:val="decimal"/>
      <w:lvlText w:val="（%1）"/>
      <w:lvlJc w:val="left"/>
      <w:pPr>
        <w:ind w:left="54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9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2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1" w:hanging="5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ACB4C2F"/>
    <w:rsid w:val="3B8064B4"/>
    <w:rsid w:val="3C7324C0"/>
    <w:rsid w:val="3F8A386E"/>
    <w:rsid w:val="40DE1750"/>
    <w:rsid w:val="41024A57"/>
    <w:rsid w:val="4216211E"/>
    <w:rsid w:val="4A1965BA"/>
    <w:rsid w:val="4BBA02F3"/>
    <w:rsid w:val="4CFB1E35"/>
    <w:rsid w:val="4DB56E60"/>
    <w:rsid w:val="51146DD2"/>
    <w:rsid w:val="59506F39"/>
    <w:rsid w:val="66D25C14"/>
    <w:rsid w:val="6BA56793"/>
    <w:rsid w:val="73DC2906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2018-11-24T06:07:49Z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