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val="en-US" w:eastAsia="zh-CN"/>
        </w:rPr>
      </w:pPr>
      <w:r>
        <w:rPr>
          <w:rFonts w:hint="eastAsia"/>
          <w:b/>
          <w:bCs/>
          <w:sz w:val="32"/>
          <w:szCs w:val="40"/>
          <w:lang w:val="en-US" w:eastAsia="zh-CN"/>
        </w:rPr>
        <w:t>2017年药学专业知识一真题--第一波</w:t>
      </w:r>
      <w:bookmarkStart w:id="0" w:name="_GoBack"/>
      <w:bookmarkEnd w:id="0"/>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1.氯丙嗪化学结构名（选项是结构名称）（C）</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A.2-氯-N,N-二甲基-10H-苯并哌唑-10-丙胺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2-氯-N,N-二甲基-10H-苯并噻唑-10-丙胺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C.2-氯-N,N-二甲基-10H-分噻嗪-10-丙胺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D.2-氯-N,N-二甲基-10H-噻嗪-10-丙胺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E.2-氯-N,N-二甲基-10H-哌嗪-10-丙胺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2.属于均相液体制剂的是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A.纳米银溶液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B.复方硫黄洗剂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C.鱼肝油乳剂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D.磷酸可待因糖浆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E.石灰擦剂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3.分子中含有酚羟基，遇光易氧化变质，需避光保存的药物是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A肾上腺素</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B维生素A</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C苯巴比妥钠</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D维生素b2</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E叶酸</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4.下列药物配伍或联用是，发生的现象属于物理配伍变化的是（A）</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A.氯霉素注射液加入5%葡萄糖注射液中析出沉淀</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B.多巴胺注射液与碳酸氢钠注射液配伍后，溶液逐渐变成分红至**</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C.阿莫西林与克拉维酸钾制成复方制剂时抗菌疗效最强</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D.维生素B12注射液与维生素C配伍时效价最低</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E.甲氧苄啶与磺胺类药物制成复方制剂是抗菌疗效最强</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5.碱性药物的解离度与药物的pKa，和液体pH的关系式为</w:t>
      </w:r>
      <w:r>
        <w:rPr>
          <w:rFonts w:hint="eastAsia" w:asciiTheme="minorEastAsia" w:hAnsiTheme="minorEastAsia" w:eastAsiaTheme="minorEastAsia" w:cstheme="minorEastAsia"/>
          <w:sz w:val="24"/>
          <w:szCs w:val="24"/>
        </w:rPr>
        <w:drawing>
          <wp:inline distT="0" distB="0" distL="114300" distR="114300">
            <wp:extent cx="590550" cy="409575"/>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90550" cy="40957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某药物的pKa=8.4，在pH7.4生理条件下，以分子形式存在的比（）</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A.1%</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B.10%</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C.50%</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D.90%</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E.99%</w:t>
      </w:r>
    </w:p>
    <w:p>
      <w:pPr>
        <w:numPr>
          <w:ilvl w:val="0"/>
          <w:numId w:val="0"/>
        </w:numPr>
        <w:rPr>
          <w:rFonts w:hint="eastAsia" w:asciiTheme="minorEastAsia" w:hAnsiTheme="minorEastAsia" w:eastAsiaTheme="minorEastAsia" w:cstheme="minorEastAsia"/>
          <w:sz w:val="24"/>
          <w:szCs w:val="24"/>
          <w:lang w:val="en-US" w:eastAsia="zh-CN"/>
        </w:rPr>
      </w:pPr>
    </w:p>
    <w:p>
      <w:pPr>
        <w:numPr>
          <w:ilvl w:val="0"/>
          <w:numId w:val="1"/>
        </w:num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胆固醇的生物合成途径如下</w:t>
      </w:r>
    </w:p>
    <w:p>
      <w:pPr>
        <w:numPr>
          <w:ilvl w:val="0"/>
          <w:numId w:val="0"/>
        </w:num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drawing>
          <wp:inline distT="0" distB="0" distL="114300" distR="114300">
            <wp:extent cx="1351280" cy="720090"/>
            <wp:effectExtent l="0" t="0" r="1270" b="381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7"/>
                    <a:stretch>
                      <a:fillRect/>
                    </a:stretch>
                  </pic:blipFill>
                  <pic:spPr>
                    <a:xfrm>
                      <a:off x="0" y="0"/>
                      <a:ext cx="1351280" cy="72009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2213610" cy="720090"/>
            <wp:effectExtent l="0" t="0" r="15240" b="381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8"/>
                    <a:stretch>
                      <a:fillRect/>
                    </a:stretch>
                  </pic:blipFill>
                  <pic:spPr>
                    <a:xfrm>
                      <a:off x="0" y="0"/>
                      <a:ext cx="2213610" cy="72009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198245" cy="720090"/>
            <wp:effectExtent l="0" t="0" r="1905" b="381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9"/>
                    <a:stretch>
                      <a:fillRect/>
                    </a:stretch>
                  </pic:blipFill>
                  <pic:spPr>
                    <a:xfrm>
                      <a:off x="0" y="0"/>
                      <a:ext cx="1198245" cy="720090"/>
                    </a:xfrm>
                    <a:prstGeom prst="rect">
                      <a:avLst/>
                    </a:prstGeom>
                    <a:noFill/>
                    <a:ln w="9525">
                      <a:noFill/>
                    </a:ln>
                  </pic:spPr>
                </pic:pic>
              </a:graphicData>
            </a:graphic>
          </wp:inline>
        </w:drawing>
      </w:r>
    </w:p>
    <w:p>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pict>
          <v:shape id="文本框 11" o:spid="_x0000_s7170" o:spt="202" type="#_x0000_t202" style="position:absolute;left:0pt;margin-left:243.75pt;margin-top:3.6pt;height:144pt;width:144pt;mso-wrap-style:none;z-index:251658240;mso-width-relative:page;mso-height-relative:page;" filled="f" stroked="f" coordsize="21600,21600" o:gfxdata="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wf1ivXAAAACQEAAA8A&#10;AAAAAAAAAQAgAAAAIgAAAGRycy9kb3ducmV2LnhtbFBLAQIUABQAAAAIAIdO4kBw9k4CGAIAABkE&#10;AAAOAAAAAAAAAAEAIAAAACYBAABkcnMvZTJvRG9jLnhtbFBLBQYAAAAABgAGAFkBAACwBQAAAAA=&#10;">
            <v:path/>
            <v:fill on="f" focussize="0,0"/>
            <v:stroke on="f" weight="0.5pt"/>
            <v:imagedata o:title=""/>
            <o:lock v:ext="edit" aspectratio="f"/>
            <v:textbox style="mso-fit-shape-to-text:t;">
              <w:txbxContent>
                <w:p>
                  <w:pPr>
                    <w:rPr>
                      <w:rFonts w:hint="eastAsia" w:eastAsiaTheme="minorEastAsia"/>
                      <w:b/>
                      <w:color w:val="FFFFFF"/>
                      <w:sz w:val="72"/>
                      <w:lang w:eastAsia="zh-CN"/>
                    </w:rPr>
                  </w:pPr>
                  <w:r>
                    <w:rPr>
                      <w:rFonts w:hint="eastAsia"/>
                      <w:b/>
                      <w:color w:val="FFFFFF"/>
                      <w:sz w:val="72"/>
                      <w:lang w:val="en-US" w:eastAsia="zh-CN"/>
                    </w:rPr>
                    <w:t>合成路径不全</w:t>
                  </w:r>
                </w:p>
              </w:txbxContent>
            </v:textbox>
          </v:shape>
        </w:pict>
      </w:r>
      <w:r>
        <w:rPr>
          <w:rFonts w:hint="eastAsia" w:asciiTheme="minorEastAsia" w:hAnsiTheme="minorEastAsia" w:eastAsiaTheme="minorEastAsia" w:cstheme="minorEastAsia"/>
          <w:color w:val="FF0000"/>
          <w:sz w:val="24"/>
          <w:szCs w:val="24"/>
        </w:rPr>
        <w:t>阿托伐他汀（</w:t>
      </w:r>
      <w:r>
        <w:rPr>
          <w:rFonts w:hint="eastAsia" w:asciiTheme="minorEastAsia" w:hAnsiTheme="minorEastAsia" w:eastAsiaTheme="minorEastAsia" w:cstheme="minorEastAsia"/>
          <w:sz w:val="24"/>
          <w:szCs w:val="24"/>
        </w:rPr>
        <w:drawing>
          <wp:inline distT="0" distB="0" distL="114300" distR="114300">
            <wp:extent cx="1202055" cy="1080135"/>
            <wp:effectExtent l="0" t="0" r="17145" b="571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1202055" cy="1080135"/>
                    </a:xfrm>
                    <a:prstGeom prst="rect">
                      <a:avLst/>
                    </a:prstGeom>
                    <a:noFill/>
                    <a:ln w="9525">
                      <a:noFill/>
                    </a:ln>
                  </pic:spPr>
                </pic:pic>
              </a:graphicData>
            </a:graphic>
          </wp:inline>
        </w:drawing>
      </w:r>
      <w:r>
        <w:rPr>
          <w:rFonts w:hint="eastAsia" w:asciiTheme="minorEastAsia" w:hAnsiTheme="minorEastAsia" w:eastAsiaTheme="minorEastAsia" w:cstheme="minorEastAsia"/>
          <w:color w:val="FF0000"/>
          <w:sz w:val="24"/>
          <w:szCs w:val="24"/>
        </w:rPr>
        <w:t>）通过抑制羟甲戊二酰辅酶A还原酶产生降血脂作用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托伐他汀印制该酶活性的必需药效团是</w:t>
      </w:r>
      <w:r>
        <w:rPr>
          <w:rFonts w:hint="eastAsia" w:asciiTheme="minorEastAsia" w:hAnsiTheme="minorEastAsia" w:eastAsiaTheme="minorEastAsia" w:cstheme="minorEastAsia"/>
          <w:sz w:val="24"/>
          <w:szCs w:val="24"/>
        </w:rPr>
        <w:t>结构式不全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A异丙基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B吡咯环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C氟苯基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D3.5-二羟基戊酸结构片段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E酰苯氨基</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7.手性药物的对映异构体之间在生物活性上有时存在很大差别。下列药物中，异构体具有麻醉作用，另一个对映异构体具有中枢兴奋作用的是</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A.苯巴比妥</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B.米安色林</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C.氯胺酮</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D.依托唑啉</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E.普鲁卡因</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8.具有儿茶酚胺结构的药物极易被儿茶酚-O-甲基转移酶（COMT）代谢发生反应。下列药物不发生COMT代谢反应的是</w:t>
      </w:r>
    </w:p>
    <w:p>
      <w:pPr>
        <w:numPr>
          <w:ilvl w:val="0"/>
          <w:numId w:val="0"/>
        </w:num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inline distT="0" distB="0" distL="114300" distR="114300">
            <wp:extent cx="1800225" cy="916305"/>
            <wp:effectExtent l="0" t="0" r="9525" b="171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1800225" cy="91630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800225" cy="595630"/>
            <wp:effectExtent l="0" t="0" r="9525"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1800225" cy="59563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800225" cy="743585"/>
            <wp:effectExtent l="0" t="0" r="9525" b="184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1800225" cy="74358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800225" cy="591820"/>
            <wp:effectExtent l="0" t="0" r="9525" b="1778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1800225" cy="59182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800225" cy="628650"/>
            <wp:effectExtent l="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5"/>
                    <a:stretch>
                      <a:fillRect/>
                    </a:stretch>
                  </pic:blipFill>
                  <pic:spPr>
                    <a:xfrm>
                      <a:off x="0" y="0"/>
                      <a:ext cx="1800225" cy="628650"/>
                    </a:xfrm>
                    <a:prstGeom prst="rect">
                      <a:avLst/>
                    </a:prstGeom>
                    <a:noFill/>
                    <a:ln w="9525">
                      <a:noFill/>
                    </a:ln>
                  </pic:spPr>
                </pic:pic>
              </a:graphicData>
            </a:graphic>
          </wp:inline>
        </w:drawing>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9.关于将药物制成胶囊剂的目的或优点的说法，错误的是</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A.可以实现液体药物固体</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B.可以掩盖药物的不良嗅味</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C.可以用于强吸湿性药物</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D.可以控制药物的释放</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E.可以提高药物的稳定性</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10.关于输液（静脉注射用大容量注射液）的说法，错误的是（B）</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A.静脉注射用脂肪乳剂中，90%微粒的直径应小于1μm</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B.为避免输液贮存过程中滋生微生物，输液中应该添加适宜的抑菌剂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C.渗透压应为等渗或偏高渗</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D.不溶性微粒检查结果应符合规定</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E.pH值应尽可能与血液的pH值相近</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11.在气雾剂中不需要使用的附加剂是（D）</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A.抛射剂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B.遮光剂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C.抗氧剂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D.润湿剂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E.潜溶剂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12.用作栓剂水溶性基质的是（B）</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A.可可豆脂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B.甘油明胶</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C.椰油脂</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D.棕榈酸酯</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E.缓和脂肪酸酯</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13.不属于固体分散技术和包合技术共有的特点是（E）</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A.掩盖不良气体</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B.改善药物溶解度</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C.易发生老化现象</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D.液体药物固体化</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E.提高药物稳定性</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14.根据释药类型，按生物时间节律特点设计的口服缓控释制剂是（E）</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A.定速释药系统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B.胃定位释药系统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C.小肠定位释药系统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D.结肠定位释药系统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E.包衣脉冲释药系统</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15.微球具有靶向性和缓解性的特点，但载药量较小。下列药物不宜制（E）</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A.阿霉素</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B.亮丙瑞林</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C.乙型肝炎疫苗</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D.生长抑素</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E.二甲双胍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41-42</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A商品名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B通用名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C化学名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D别名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E药品代码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41.国际非专利药品名是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42.只有名称拥有者、制造者才能无偿使用的药品名是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【43-45】</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A.一期临床试验</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B.二期临床试验</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C.三期临床试验</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D.四期临床试验</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E.0期临床试验</w:t>
      </w:r>
    </w:p>
    <w:p>
      <w:pPr>
        <w:numPr>
          <w:ilvl w:val="0"/>
          <w:numId w:val="2"/>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可采用试验、对照、双盲试验，对受试药的有效性和安全性做出初步药效学评价，推荐给药剂量的新药研究阶段是（B）</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44.新药上市后在社会群大范围内继续进行的安全性和有效性评价，在广泛、长期使用给药剂量的新药研究阶段是（）</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45.一般选20~30例健质成年志愿者，观察人体对于受试药的耐受程度和人体药动学特征为制定后续临床试验的给药方案提供依据的新药研究阶段是（A）</w:t>
      </w:r>
    </w:p>
    <w:p>
      <w:pPr>
        <w:rPr>
          <w:rFonts w:hint="eastAsia" w:asciiTheme="minorEastAsia" w:hAnsiTheme="minorEastAsia" w:eastAsiaTheme="minorEastAsia" w:cstheme="minorEastAsia"/>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sz w:val="24"/>
      </w:rPr>
      <w:pict>
        <v:shape id="_x0000_s6145" o:spid="_x0000_s614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r>
                  <w:rPr>
                    <w:rFonts w:hint="eastAsia"/>
                    <w:sz w:val="18"/>
                  </w:rPr>
                  <w:t xml:space="preserve"> 页</w:t>
                </w:r>
              </w:p>
            </w:txbxContent>
          </v:textbox>
        </v:shape>
      </w:pict>
    </w: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FC62C"/>
    <w:multiLevelType w:val="singleLevel"/>
    <w:tmpl w:val="5A0FC62C"/>
    <w:lvl w:ilvl="0" w:tentative="0">
      <w:start w:val="43"/>
      <w:numFmt w:val="decimal"/>
      <w:lvlText w:val="%1."/>
      <w:lvlJc w:val="left"/>
      <w:pPr>
        <w:tabs>
          <w:tab w:val="left" w:pos="312"/>
        </w:tabs>
      </w:pPr>
    </w:lvl>
  </w:abstractNum>
  <w:abstractNum w:abstractNumId="1">
    <w:nsid w:val="5A0FCCBF"/>
    <w:multiLevelType w:val="singleLevel"/>
    <w:tmpl w:val="5A0FCCBF"/>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6"/>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7BEE"/>
    <w:rsid w:val="0008003F"/>
    <w:rsid w:val="0013314C"/>
    <w:rsid w:val="001C0713"/>
    <w:rsid w:val="002A5A66"/>
    <w:rsid w:val="003D5CE1"/>
    <w:rsid w:val="004F6910"/>
    <w:rsid w:val="006725E0"/>
    <w:rsid w:val="0073536E"/>
    <w:rsid w:val="00896010"/>
    <w:rsid w:val="008A3033"/>
    <w:rsid w:val="00963BC7"/>
    <w:rsid w:val="00BD7BEE"/>
    <w:rsid w:val="00C851B9"/>
    <w:rsid w:val="00D011FD"/>
    <w:rsid w:val="00D11570"/>
    <w:rsid w:val="00F11EF8"/>
    <w:rsid w:val="030E2367"/>
    <w:rsid w:val="108E4A0D"/>
    <w:rsid w:val="1D2A6C9E"/>
    <w:rsid w:val="40DE1750"/>
    <w:rsid w:val="4DB56E60"/>
    <w:rsid w:val="544D092A"/>
    <w:rsid w:val="567A1CB2"/>
    <w:rsid w:val="66D25C14"/>
    <w:rsid w:val="73DC2906"/>
    <w:rsid w:val="74E43BC5"/>
    <w:rsid w:val="7CC14811"/>
    <w:rsid w:val="7FA87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0">
    <w:name w:val="标题 Char"/>
    <w:basedOn w:val="7"/>
    <w:link w:val="6"/>
    <w:qFormat/>
    <w:uiPriority w:val="10"/>
    <w:rPr>
      <w:rFonts w:asciiTheme="majorHAnsi" w:hAnsiTheme="majorHAnsi" w:cstheme="majorBidi"/>
      <w:b/>
      <w:bCs/>
      <w:kern w:val="2"/>
      <w:sz w:val="32"/>
      <w:szCs w:val="32"/>
    </w:rPr>
  </w:style>
  <w:style w:type="paragraph" w:styleId="11">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Info spid="_x0000_s71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249</Words>
  <Characters>1424</Characters>
  <Lines>11</Lines>
  <Paragraphs>3</Paragraphs>
  <TotalTime>0</TotalTime>
  <ScaleCrop>false</ScaleCrop>
  <LinksUpToDate>false</LinksUpToDate>
  <CharactersWithSpaces>1670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2017-11-18T06:15:00Z</dcterms:created>
  <dc:creator>lizhongqi</dc:creator>
  <cp:lastModifiedBy>Administrator</cp:lastModifiedBy>
  <dcterms:modified xsi:type="dcterms:W3CDTF">2017-11-18T06:20:21Z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